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27D3" w14:textId="3FC178B9" w:rsidR="00CB0FAE" w:rsidRDefault="00324B7D" w:rsidP="007529D9">
      <w:pPr>
        <w:pStyle w:val="BodyText"/>
        <w:rPr>
          <w:rFonts w:ascii="Times New Roman"/>
          <w:sz w:val="20"/>
        </w:rPr>
      </w:pPr>
      <w:r>
        <w:rPr>
          <w:rFonts w:ascii="Times New Roman" w:hAnsi="Times New Roman" w:cs="Times New Roman"/>
          <w:noProof/>
        </w:rPr>
        <w:drawing>
          <wp:anchor distT="0" distB="0" distL="114300" distR="114300" simplePos="0" relativeHeight="251658240" behindDoc="1" locked="0" layoutInCell="1" allowOverlap="1" wp14:anchorId="6365C8F1" wp14:editId="551D4B23">
            <wp:simplePos x="0" y="0"/>
            <wp:positionH relativeFrom="column">
              <wp:posOffset>-20320</wp:posOffset>
            </wp:positionH>
            <wp:positionV relativeFrom="paragraph">
              <wp:posOffset>76835</wp:posOffset>
            </wp:positionV>
            <wp:extent cx="3800475" cy="1193800"/>
            <wp:effectExtent l="0" t="0" r="0" b="0"/>
            <wp:wrapTight wrapText="bothSides">
              <wp:wrapPolygon edited="0">
                <wp:start x="2274" y="4136"/>
                <wp:lineTo x="2274" y="16545"/>
                <wp:lineTo x="6496" y="17234"/>
                <wp:lineTo x="10719" y="17234"/>
                <wp:lineTo x="19380" y="16545"/>
                <wp:lineTo x="19380" y="6204"/>
                <wp:lineTo x="15374" y="4826"/>
                <wp:lineTo x="4547" y="4136"/>
                <wp:lineTo x="2274" y="413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0475"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80BCAB" w14:textId="3EE3AF1B" w:rsidR="00CB0FAE" w:rsidRDefault="00CB0FAE" w:rsidP="002B2C74">
      <w:pPr>
        <w:pStyle w:val="BodyText"/>
        <w:spacing w:before="6"/>
        <w:ind w:left="540"/>
        <w:rPr>
          <w:rFonts w:ascii="Times New Roman"/>
          <w:sz w:val="17"/>
        </w:rPr>
      </w:pPr>
    </w:p>
    <w:p w14:paraId="57D2BEFE" w14:textId="77777777" w:rsidR="00CB0FAE" w:rsidRDefault="00CB0FAE" w:rsidP="00324B7D">
      <w:pPr>
        <w:rPr>
          <w:rFonts w:ascii="Times New Roman"/>
          <w:sz w:val="17"/>
        </w:rPr>
        <w:sectPr w:rsidR="00CB0FAE" w:rsidSect="005E5345">
          <w:headerReference w:type="even" r:id="rId9"/>
          <w:headerReference w:type="default" r:id="rId10"/>
          <w:footerReference w:type="even" r:id="rId11"/>
          <w:footerReference w:type="default" r:id="rId12"/>
          <w:headerReference w:type="first" r:id="rId13"/>
          <w:footerReference w:type="first" r:id="rId14"/>
          <w:type w:val="continuous"/>
          <w:pgSz w:w="12240" w:h="15840"/>
          <w:pgMar w:top="360" w:right="706" w:bottom="360" w:left="706" w:header="720" w:footer="720" w:gutter="0"/>
          <w:pgNumType w:start="1"/>
          <w:cols w:space="720"/>
          <w:titlePg/>
          <w:docGrid w:linePitch="299"/>
        </w:sectPr>
      </w:pPr>
    </w:p>
    <w:p w14:paraId="025FA939" w14:textId="77777777" w:rsidR="00CB0FAE" w:rsidRDefault="00CB0FAE" w:rsidP="00324B7D">
      <w:pPr>
        <w:pStyle w:val="BodyText"/>
        <w:rPr>
          <w:rFonts w:ascii="Times New Roman"/>
          <w:sz w:val="24"/>
        </w:rPr>
      </w:pPr>
    </w:p>
    <w:p w14:paraId="1FC6DB9B" w14:textId="77777777" w:rsidR="00D74A67" w:rsidRDefault="00D74A67">
      <w:pPr>
        <w:pStyle w:val="BodyText"/>
        <w:rPr>
          <w:color w:val="194D7E"/>
          <w:sz w:val="3"/>
        </w:rPr>
      </w:pPr>
    </w:p>
    <w:p w14:paraId="76678378" w14:textId="77777777" w:rsidR="00D74A67" w:rsidRDefault="00D74A67">
      <w:pPr>
        <w:pStyle w:val="BodyText"/>
        <w:rPr>
          <w:color w:val="194D7E"/>
          <w:sz w:val="3"/>
        </w:rPr>
      </w:pPr>
    </w:p>
    <w:p w14:paraId="2EE7CB11" w14:textId="77777777" w:rsidR="00D74A67" w:rsidRDefault="00D74A67">
      <w:pPr>
        <w:pStyle w:val="BodyText"/>
        <w:rPr>
          <w:color w:val="194D7E"/>
          <w:sz w:val="3"/>
        </w:rPr>
      </w:pPr>
    </w:p>
    <w:p w14:paraId="211FEDB7" w14:textId="77777777" w:rsidR="00D74A67" w:rsidRDefault="00D74A67">
      <w:pPr>
        <w:pStyle w:val="BodyText"/>
        <w:rPr>
          <w:color w:val="194D7E"/>
          <w:sz w:val="3"/>
        </w:rPr>
      </w:pPr>
    </w:p>
    <w:p w14:paraId="57D8791A" w14:textId="77777777" w:rsidR="00D74A67" w:rsidRDefault="00D74A67">
      <w:pPr>
        <w:pStyle w:val="BodyText"/>
        <w:rPr>
          <w:color w:val="194D7E"/>
          <w:sz w:val="3"/>
        </w:rPr>
      </w:pPr>
    </w:p>
    <w:p w14:paraId="7E7F9E6E" w14:textId="77777777" w:rsidR="00D74A67" w:rsidRDefault="00D74A67">
      <w:pPr>
        <w:pStyle w:val="BodyText"/>
        <w:rPr>
          <w:color w:val="194D7E"/>
          <w:sz w:val="3"/>
        </w:rPr>
      </w:pPr>
    </w:p>
    <w:p w14:paraId="3E699544" w14:textId="77777777" w:rsidR="00D74A67" w:rsidRDefault="00D74A67">
      <w:pPr>
        <w:pStyle w:val="BodyText"/>
        <w:rPr>
          <w:color w:val="194D7E"/>
          <w:sz w:val="3"/>
        </w:rPr>
      </w:pPr>
    </w:p>
    <w:p w14:paraId="7EA69C53" w14:textId="77777777" w:rsidR="00D74A67" w:rsidRDefault="00D74A67">
      <w:pPr>
        <w:pStyle w:val="BodyText"/>
        <w:rPr>
          <w:color w:val="194D7E"/>
          <w:sz w:val="3"/>
        </w:rPr>
      </w:pPr>
    </w:p>
    <w:p w14:paraId="0F762680" w14:textId="77777777" w:rsidR="00D74A67" w:rsidRDefault="00D74A67">
      <w:pPr>
        <w:pStyle w:val="BodyText"/>
        <w:rPr>
          <w:color w:val="194D7E"/>
          <w:sz w:val="3"/>
        </w:rPr>
      </w:pPr>
    </w:p>
    <w:p w14:paraId="68668258" w14:textId="77777777" w:rsidR="00D74A67" w:rsidRDefault="00D74A67">
      <w:pPr>
        <w:pStyle w:val="BodyText"/>
        <w:rPr>
          <w:color w:val="194D7E"/>
          <w:sz w:val="3"/>
        </w:rPr>
      </w:pPr>
    </w:p>
    <w:p w14:paraId="795860BC" w14:textId="77777777" w:rsidR="00D74A67" w:rsidRDefault="00D74A67">
      <w:pPr>
        <w:pStyle w:val="BodyText"/>
        <w:rPr>
          <w:color w:val="194D7E"/>
          <w:sz w:val="3"/>
        </w:rPr>
      </w:pPr>
    </w:p>
    <w:p w14:paraId="37FD9D8F" w14:textId="77777777" w:rsidR="00D74A67" w:rsidRDefault="00D74A67">
      <w:pPr>
        <w:pStyle w:val="BodyText"/>
        <w:rPr>
          <w:color w:val="194D7E"/>
          <w:sz w:val="3"/>
        </w:rPr>
      </w:pPr>
    </w:p>
    <w:p w14:paraId="62F5C9C5" w14:textId="77777777" w:rsidR="00D74A67" w:rsidRDefault="00D74A67">
      <w:pPr>
        <w:pStyle w:val="BodyText"/>
        <w:rPr>
          <w:color w:val="194D7E"/>
          <w:sz w:val="3"/>
        </w:rPr>
      </w:pPr>
    </w:p>
    <w:p w14:paraId="64620B49" w14:textId="77777777" w:rsidR="00D74A67" w:rsidRDefault="00D74A67">
      <w:pPr>
        <w:pStyle w:val="BodyText"/>
        <w:rPr>
          <w:color w:val="194D7E"/>
          <w:sz w:val="3"/>
        </w:rPr>
      </w:pPr>
    </w:p>
    <w:p w14:paraId="660D9AFA" w14:textId="77777777" w:rsidR="00D74A67" w:rsidRDefault="00D74A67">
      <w:pPr>
        <w:pStyle w:val="BodyText"/>
        <w:rPr>
          <w:color w:val="194D7E"/>
          <w:sz w:val="3"/>
        </w:rPr>
      </w:pPr>
    </w:p>
    <w:p w14:paraId="0695F498" w14:textId="77777777" w:rsidR="00D74A67" w:rsidRDefault="00D74A67">
      <w:pPr>
        <w:pStyle w:val="BodyText"/>
        <w:rPr>
          <w:color w:val="194D7E"/>
          <w:sz w:val="3"/>
        </w:rPr>
      </w:pPr>
    </w:p>
    <w:p w14:paraId="29ADF154" w14:textId="77777777" w:rsidR="00D74A67" w:rsidRDefault="00D74A67">
      <w:pPr>
        <w:pStyle w:val="BodyText"/>
        <w:rPr>
          <w:color w:val="194D7E"/>
          <w:sz w:val="3"/>
        </w:rPr>
      </w:pPr>
    </w:p>
    <w:p w14:paraId="28D9F2E3" w14:textId="77777777" w:rsidR="00D74A67" w:rsidRDefault="00D74A67">
      <w:pPr>
        <w:pStyle w:val="BodyText"/>
        <w:rPr>
          <w:color w:val="194D7E"/>
          <w:sz w:val="3"/>
        </w:rPr>
      </w:pPr>
    </w:p>
    <w:p w14:paraId="73E8830A" w14:textId="77777777" w:rsidR="00D74A67" w:rsidRDefault="00D74A67">
      <w:pPr>
        <w:pStyle w:val="BodyText"/>
        <w:rPr>
          <w:color w:val="194D7E"/>
          <w:sz w:val="3"/>
        </w:rPr>
      </w:pPr>
    </w:p>
    <w:p w14:paraId="79E4EBB3" w14:textId="77777777" w:rsidR="00D74A67" w:rsidRDefault="00D74A67">
      <w:pPr>
        <w:pStyle w:val="BodyText"/>
        <w:rPr>
          <w:color w:val="194D7E"/>
          <w:sz w:val="3"/>
        </w:rPr>
      </w:pPr>
    </w:p>
    <w:p w14:paraId="6DC46B9F" w14:textId="77777777" w:rsidR="00D74A67" w:rsidRDefault="00D74A67">
      <w:pPr>
        <w:pStyle w:val="BodyText"/>
        <w:rPr>
          <w:color w:val="194D7E"/>
          <w:sz w:val="3"/>
        </w:rPr>
      </w:pPr>
    </w:p>
    <w:p w14:paraId="762F9EA5" w14:textId="77777777" w:rsidR="00D74A67" w:rsidRDefault="00D74A67">
      <w:pPr>
        <w:pStyle w:val="BodyText"/>
        <w:rPr>
          <w:color w:val="194D7E"/>
          <w:sz w:val="3"/>
        </w:rPr>
      </w:pPr>
    </w:p>
    <w:p w14:paraId="641EB7C6" w14:textId="77777777" w:rsidR="00D74A67" w:rsidRDefault="00D74A67">
      <w:pPr>
        <w:pStyle w:val="BodyText"/>
        <w:rPr>
          <w:color w:val="194D7E"/>
          <w:sz w:val="3"/>
        </w:rPr>
      </w:pPr>
    </w:p>
    <w:p w14:paraId="1DB85E8A" w14:textId="77777777" w:rsidR="00D74A67" w:rsidRDefault="00D74A67">
      <w:pPr>
        <w:pStyle w:val="BodyText"/>
        <w:rPr>
          <w:color w:val="194D7E"/>
          <w:sz w:val="3"/>
        </w:rPr>
      </w:pPr>
    </w:p>
    <w:p w14:paraId="0286FE2E" w14:textId="77777777" w:rsidR="00D74A67" w:rsidRDefault="00D74A67">
      <w:pPr>
        <w:pStyle w:val="BodyText"/>
        <w:rPr>
          <w:color w:val="194D7E"/>
          <w:sz w:val="3"/>
        </w:rPr>
      </w:pPr>
    </w:p>
    <w:p w14:paraId="01D84285" w14:textId="77777777" w:rsidR="00D74A67" w:rsidRDefault="00D74A67">
      <w:pPr>
        <w:pStyle w:val="BodyText"/>
        <w:rPr>
          <w:color w:val="194D7E"/>
          <w:sz w:val="3"/>
        </w:rPr>
      </w:pPr>
    </w:p>
    <w:p w14:paraId="2812852E" w14:textId="77777777" w:rsidR="00D74A67" w:rsidRDefault="00D74A67">
      <w:pPr>
        <w:pStyle w:val="BodyText"/>
        <w:rPr>
          <w:color w:val="194D7E"/>
          <w:sz w:val="3"/>
        </w:rPr>
      </w:pPr>
    </w:p>
    <w:p w14:paraId="3AC7E238" w14:textId="77777777" w:rsidR="00D74A67" w:rsidRDefault="00D74A67">
      <w:pPr>
        <w:pStyle w:val="BodyText"/>
        <w:rPr>
          <w:color w:val="194D7E"/>
          <w:sz w:val="3"/>
        </w:rPr>
      </w:pPr>
    </w:p>
    <w:p w14:paraId="6CFE14F2" w14:textId="77777777" w:rsidR="00D74A67" w:rsidRDefault="00D74A67">
      <w:pPr>
        <w:pStyle w:val="BodyText"/>
        <w:rPr>
          <w:color w:val="194D7E"/>
          <w:sz w:val="3"/>
        </w:rPr>
      </w:pPr>
    </w:p>
    <w:p w14:paraId="5ECCAA07" w14:textId="77777777" w:rsidR="00D74A67" w:rsidRDefault="00D74A67">
      <w:pPr>
        <w:pStyle w:val="BodyText"/>
        <w:rPr>
          <w:color w:val="194D7E"/>
          <w:sz w:val="3"/>
        </w:rPr>
      </w:pPr>
    </w:p>
    <w:p w14:paraId="605108D0" w14:textId="77777777" w:rsidR="00D74A67" w:rsidRDefault="00D74A67">
      <w:pPr>
        <w:pStyle w:val="BodyText"/>
        <w:rPr>
          <w:color w:val="194D7E"/>
          <w:sz w:val="3"/>
        </w:rPr>
      </w:pPr>
    </w:p>
    <w:p w14:paraId="2AEB9373" w14:textId="6CA3BB30" w:rsidR="00CB0FAE" w:rsidRDefault="0096337F">
      <w:pPr>
        <w:pStyle w:val="BodyText"/>
        <w:rPr>
          <w:rFonts w:ascii="Times New Roman"/>
          <w:sz w:val="24"/>
        </w:rPr>
      </w:pPr>
      <w:r>
        <w:rPr>
          <w:color w:val="194D7E"/>
          <w:sz w:val="3"/>
        </w:rPr>
      </w:r>
      <w:r>
        <w:rPr>
          <w:color w:val="194D7E"/>
          <w:sz w:val="3"/>
        </w:rPr>
        <w:pict w14:anchorId="2CF0DA48">
          <v:group id="_x0000_s2080" style="width:466.2pt;height:3.55pt;mso-position-horizontal-relative:char;mso-position-vertical-relative:line" coordsize="9811,32">
            <v:line id="_x0000_s2081" style="position:absolute" from="0,16" to="9810,16" strokecolor="#194d7e" strokeweight="1.6pt"/>
            <w10:wrap type="none"/>
            <w10:anchorlock/>
          </v:group>
        </w:pict>
      </w:r>
    </w:p>
    <w:p w14:paraId="437D5724" w14:textId="77777777" w:rsidR="00D74A67" w:rsidRPr="00321441" w:rsidRDefault="00D74A67" w:rsidP="00D74A67">
      <w:pPr>
        <w:pStyle w:val="BodyText"/>
        <w:jc w:val="center"/>
        <w:rPr>
          <w:rFonts w:ascii="Times New Roman"/>
          <w:b/>
          <w:bCs/>
          <w:color w:val="1F497D" w:themeColor="text2"/>
          <w:sz w:val="24"/>
        </w:rPr>
      </w:pPr>
      <w:r w:rsidRPr="00321441">
        <w:rPr>
          <w:rFonts w:ascii="Times New Roman"/>
          <w:b/>
          <w:bCs/>
          <w:color w:val="1F497D" w:themeColor="text2"/>
          <w:sz w:val="24"/>
        </w:rPr>
        <w:t>MEMORANDUM</w:t>
      </w:r>
    </w:p>
    <w:p w14:paraId="3A84DAAB" w14:textId="77777777" w:rsidR="00D74A67" w:rsidRPr="00321441" w:rsidRDefault="00D74A67" w:rsidP="00D74A67">
      <w:pPr>
        <w:pStyle w:val="BodyText"/>
        <w:jc w:val="center"/>
        <w:rPr>
          <w:rFonts w:ascii="Times New Roman"/>
          <w:sz w:val="6"/>
          <w:szCs w:val="6"/>
        </w:rPr>
      </w:pPr>
    </w:p>
    <w:p w14:paraId="15C59CC1" w14:textId="1C9505DA" w:rsidR="00D74A67" w:rsidRDefault="00D74A67" w:rsidP="00D74A67">
      <w:pPr>
        <w:pStyle w:val="BodyText"/>
        <w:tabs>
          <w:tab w:val="left" w:pos="0"/>
          <w:tab w:val="left" w:pos="1080"/>
        </w:tabs>
        <w:spacing w:line="360" w:lineRule="auto"/>
        <w:ind w:right="475"/>
        <w:jc w:val="both"/>
        <w:rPr>
          <w:rFonts w:ascii="Times New Roman"/>
        </w:rPr>
      </w:pPr>
      <w:r>
        <w:rPr>
          <w:rFonts w:ascii="Times New Roman"/>
        </w:rPr>
        <w:t xml:space="preserve">TO: </w:t>
      </w:r>
      <w:r>
        <w:rPr>
          <w:rFonts w:ascii="Times New Roman"/>
        </w:rPr>
        <w:tab/>
      </w:r>
      <w:r w:rsidR="00B124F2">
        <w:rPr>
          <w:rFonts w:ascii="Times New Roman"/>
        </w:rPr>
        <w:t>So Kids Can Move Coalition</w:t>
      </w:r>
      <w:r>
        <w:rPr>
          <w:rFonts w:ascii="Times New Roman"/>
        </w:rPr>
        <w:tab/>
      </w:r>
      <w:r>
        <w:rPr>
          <w:rFonts w:ascii="Times New Roman"/>
        </w:rPr>
        <w:tab/>
      </w:r>
    </w:p>
    <w:p w14:paraId="591B484A" w14:textId="4EAF0BCF" w:rsidR="00D74A67" w:rsidRDefault="00D74A67" w:rsidP="00D74A67">
      <w:pPr>
        <w:pStyle w:val="BodyText"/>
        <w:tabs>
          <w:tab w:val="left" w:pos="0"/>
          <w:tab w:val="left" w:pos="1080"/>
        </w:tabs>
        <w:spacing w:line="360" w:lineRule="auto"/>
        <w:ind w:right="475"/>
        <w:jc w:val="both"/>
        <w:rPr>
          <w:rFonts w:ascii="Times New Roman"/>
        </w:rPr>
      </w:pPr>
      <w:r>
        <w:rPr>
          <w:rFonts w:ascii="Times New Roman"/>
        </w:rPr>
        <w:t>FROM:</w:t>
      </w:r>
      <w:r>
        <w:rPr>
          <w:rFonts w:ascii="Times New Roman"/>
        </w:rPr>
        <w:tab/>
      </w:r>
      <w:r w:rsidR="00150801">
        <w:rPr>
          <w:rFonts w:ascii="Times New Roman"/>
        </w:rPr>
        <w:t>Peter Thomas and Hannah Come</w:t>
      </w:r>
      <w:r w:rsidR="00B124F2">
        <w:rPr>
          <w:rFonts w:ascii="Times New Roman"/>
        </w:rPr>
        <w:t>au</w:t>
      </w:r>
    </w:p>
    <w:p w14:paraId="06B13739" w14:textId="4870A6DA" w:rsidR="00D74A67" w:rsidRDefault="00D74A67" w:rsidP="00D74A67">
      <w:pPr>
        <w:pStyle w:val="BodyText"/>
        <w:tabs>
          <w:tab w:val="left" w:pos="0"/>
          <w:tab w:val="left" w:pos="1080"/>
        </w:tabs>
        <w:spacing w:line="360" w:lineRule="auto"/>
        <w:ind w:right="475"/>
        <w:jc w:val="both"/>
        <w:rPr>
          <w:rFonts w:ascii="Times New Roman"/>
        </w:rPr>
      </w:pPr>
      <w:r>
        <w:rPr>
          <w:rFonts w:ascii="Times New Roman"/>
        </w:rPr>
        <w:t>DATE:</w:t>
      </w:r>
      <w:r>
        <w:rPr>
          <w:rFonts w:ascii="Times New Roman"/>
        </w:rPr>
        <w:tab/>
      </w:r>
      <w:r w:rsidR="00150801">
        <w:rPr>
          <w:rFonts w:ascii="Times New Roman"/>
        </w:rPr>
        <w:t xml:space="preserve">February </w:t>
      </w:r>
      <w:r w:rsidR="00B124F2">
        <w:rPr>
          <w:rFonts w:ascii="Times New Roman"/>
        </w:rPr>
        <w:t>23</w:t>
      </w:r>
      <w:r w:rsidR="00150801">
        <w:rPr>
          <w:rFonts w:ascii="Times New Roman"/>
        </w:rPr>
        <w:t>, 2023</w:t>
      </w:r>
    </w:p>
    <w:p w14:paraId="3FFF62C8" w14:textId="24BDD1B0" w:rsidR="00D74A67" w:rsidRPr="00D74A67" w:rsidRDefault="00D74A67" w:rsidP="00D74A67">
      <w:pPr>
        <w:pStyle w:val="BodyText"/>
        <w:tabs>
          <w:tab w:val="left" w:pos="0"/>
          <w:tab w:val="left" w:pos="1080"/>
        </w:tabs>
        <w:spacing w:line="360" w:lineRule="auto"/>
        <w:ind w:right="475"/>
        <w:jc w:val="both"/>
        <w:rPr>
          <w:rFonts w:ascii="Times New Roman"/>
        </w:rPr>
      </w:pPr>
      <w:r>
        <w:rPr>
          <w:rFonts w:ascii="Times New Roman"/>
        </w:rPr>
        <w:t>SUBJECT:</w:t>
      </w:r>
      <w:r>
        <w:rPr>
          <w:rFonts w:ascii="Times New Roman"/>
        </w:rPr>
        <w:tab/>
      </w:r>
      <w:r w:rsidR="00150801">
        <w:rPr>
          <w:rFonts w:ascii="Times New Roman"/>
        </w:rPr>
        <w:t>Application of ACA Section 1557 to SKCM Legislation Age Distinctions</w:t>
      </w:r>
    </w:p>
    <w:p w14:paraId="2A846EE9" w14:textId="0E50775A" w:rsidR="00CB0FAE" w:rsidRDefault="0096337F" w:rsidP="00B000BA">
      <w:pPr>
        <w:pStyle w:val="BodyText"/>
        <w:rPr>
          <w:rFonts w:ascii="Times New Roman"/>
          <w:sz w:val="24"/>
        </w:rPr>
      </w:pPr>
      <w:r>
        <w:rPr>
          <w:sz w:val="3"/>
        </w:rPr>
      </w:r>
      <w:r>
        <w:rPr>
          <w:sz w:val="3"/>
        </w:rPr>
        <w:pict w14:anchorId="6D879847">
          <v:group id="_x0000_s2082" style="width:466.25pt;height:3.55pt;mso-position-horizontal-relative:char;mso-position-vertical-relative:line" coordsize="9811,32">
            <v:line id="_x0000_s2083" style="position:absolute" from="0,16" to="9810,16" strokecolor="#28326e" strokeweight="1.6pt"/>
            <w10:wrap type="none"/>
            <w10:anchorlock/>
          </v:group>
        </w:pict>
      </w:r>
    </w:p>
    <w:p w14:paraId="6C23A303" w14:textId="7AC633B2" w:rsidR="00CB0FAE" w:rsidRDefault="00CB0FAE" w:rsidP="00FB7616">
      <w:pPr>
        <w:pStyle w:val="BodyText"/>
        <w:tabs>
          <w:tab w:val="left" w:pos="0"/>
        </w:tabs>
        <w:spacing w:before="6" w:after="1"/>
        <w:rPr>
          <w:b/>
          <w:sz w:val="18"/>
        </w:rPr>
      </w:pPr>
    </w:p>
    <w:p w14:paraId="6A616150" w14:textId="77777777" w:rsidR="00150801" w:rsidRPr="00B124F2" w:rsidRDefault="00150801" w:rsidP="00150801">
      <w:pPr>
        <w:rPr>
          <w:rFonts w:ascii="Times New Roman" w:hAnsi="Times New Roman" w:cs="Times New Roman"/>
          <w:b/>
          <w:bCs/>
          <w:sz w:val="24"/>
          <w:szCs w:val="24"/>
        </w:rPr>
      </w:pPr>
      <w:r w:rsidRPr="00B124F2">
        <w:rPr>
          <w:rFonts w:ascii="Times New Roman" w:hAnsi="Times New Roman" w:cs="Times New Roman"/>
          <w:b/>
          <w:bCs/>
          <w:sz w:val="24"/>
          <w:szCs w:val="24"/>
        </w:rPr>
        <w:t xml:space="preserve">Introduction </w:t>
      </w:r>
    </w:p>
    <w:p w14:paraId="34DF2AE8" w14:textId="77777777" w:rsidR="00150801" w:rsidRPr="00B124F2" w:rsidRDefault="00150801" w:rsidP="00150801">
      <w:pPr>
        <w:rPr>
          <w:rFonts w:ascii="Times New Roman" w:hAnsi="Times New Roman" w:cs="Times New Roman"/>
          <w:b/>
          <w:bCs/>
          <w:sz w:val="24"/>
          <w:szCs w:val="24"/>
        </w:rPr>
      </w:pPr>
    </w:p>
    <w:p w14:paraId="707DCEE2" w14:textId="63B21CA6" w:rsidR="00150801" w:rsidRPr="00B124F2" w:rsidRDefault="00150801" w:rsidP="00150801">
      <w:pPr>
        <w:rPr>
          <w:rFonts w:ascii="Times New Roman" w:hAnsi="Times New Roman" w:cs="Times New Roman"/>
          <w:sz w:val="24"/>
          <w:szCs w:val="24"/>
        </w:rPr>
      </w:pPr>
      <w:r w:rsidRPr="00B124F2">
        <w:rPr>
          <w:rFonts w:ascii="Times New Roman" w:hAnsi="Times New Roman" w:cs="Times New Roman"/>
          <w:sz w:val="24"/>
          <w:szCs w:val="24"/>
        </w:rPr>
        <w:t xml:space="preserve">You have asked us to provide guidance concerning Section 1557 of the Patient Protection and Affordable Care Act (“ACA”) and its applicability to the age-limited orthotics and prosthetics legislation in Maine, New Hampshire, Colorado, and Indiana. </w:t>
      </w:r>
      <w:r w:rsidR="00C06908" w:rsidRPr="00B124F2">
        <w:rPr>
          <w:rFonts w:ascii="Times New Roman" w:hAnsi="Times New Roman" w:cs="Times New Roman"/>
          <w:sz w:val="24"/>
          <w:szCs w:val="24"/>
        </w:rPr>
        <w:t xml:space="preserve">Section 1557 is the primary anti-discrimination provision of the ACA and prohibits discrimination in certain health programs or activities on the basis of race, color, national origin, age, disability, or sex. </w:t>
      </w:r>
      <w:r w:rsidR="007D4D8A">
        <w:rPr>
          <w:rFonts w:ascii="Times New Roman" w:hAnsi="Times New Roman" w:cs="Times New Roman"/>
          <w:sz w:val="24"/>
          <w:szCs w:val="24"/>
        </w:rPr>
        <w:t xml:space="preserve">We also considered other aspects of the ACA that pertain to </w:t>
      </w:r>
      <w:r w:rsidR="00C06908">
        <w:rPr>
          <w:rFonts w:ascii="Times New Roman" w:hAnsi="Times New Roman" w:cs="Times New Roman"/>
          <w:sz w:val="24"/>
          <w:szCs w:val="24"/>
        </w:rPr>
        <w:t xml:space="preserve">nondiscrimination in </w:t>
      </w:r>
      <w:r w:rsidR="007D4D8A">
        <w:rPr>
          <w:rFonts w:ascii="Times New Roman" w:hAnsi="Times New Roman" w:cs="Times New Roman"/>
          <w:sz w:val="24"/>
          <w:szCs w:val="24"/>
        </w:rPr>
        <w:t xml:space="preserve">essential health benefit </w:t>
      </w:r>
      <w:r w:rsidR="00C06908">
        <w:rPr>
          <w:rFonts w:ascii="Times New Roman" w:hAnsi="Times New Roman" w:cs="Times New Roman"/>
          <w:sz w:val="24"/>
          <w:szCs w:val="24"/>
        </w:rPr>
        <w:t xml:space="preserve">(EHB) plan </w:t>
      </w:r>
      <w:r w:rsidR="007D4D8A">
        <w:rPr>
          <w:rFonts w:ascii="Times New Roman" w:hAnsi="Times New Roman" w:cs="Times New Roman"/>
          <w:sz w:val="24"/>
          <w:szCs w:val="24"/>
        </w:rPr>
        <w:t>design</w:t>
      </w:r>
      <w:r w:rsidR="00C06908">
        <w:rPr>
          <w:rFonts w:ascii="Times New Roman" w:hAnsi="Times New Roman" w:cs="Times New Roman"/>
          <w:sz w:val="24"/>
          <w:szCs w:val="24"/>
        </w:rPr>
        <w:t xml:space="preserve">, specifically Section 156.125 of the federal EHB regulations.  The </w:t>
      </w:r>
      <w:r w:rsidR="00C06908">
        <w:rPr>
          <w:rFonts w:ascii="Times New Roman" w:hAnsi="Times New Roman" w:cs="Times New Roman"/>
          <w:sz w:val="24"/>
          <w:szCs w:val="24"/>
        </w:rPr>
        <w:t>So Kids Can Move (SKCM) initiative</w:t>
      </w:r>
      <w:r w:rsidR="00C06908">
        <w:rPr>
          <w:rFonts w:ascii="Times New Roman" w:hAnsi="Times New Roman" w:cs="Times New Roman"/>
          <w:sz w:val="24"/>
          <w:szCs w:val="24"/>
        </w:rPr>
        <w:t xml:space="preserve"> seeks to pass state </w:t>
      </w:r>
      <w:r w:rsidR="001B0CE7">
        <w:rPr>
          <w:rFonts w:ascii="Times New Roman" w:hAnsi="Times New Roman" w:cs="Times New Roman"/>
          <w:sz w:val="24"/>
          <w:szCs w:val="24"/>
        </w:rPr>
        <w:t xml:space="preserve">legislation </w:t>
      </w:r>
      <w:r w:rsidR="00C06908">
        <w:rPr>
          <w:rFonts w:ascii="Times New Roman" w:hAnsi="Times New Roman" w:cs="Times New Roman"/>
          <w:sz w:val="24"/>
          <w:szCs w:val="24"/>
        </w:rPr>
        <w:t xml:space="preserve">that </w:t>
      </w:r>
      <w:r w:rsidR="001B0CE7">
        <w:rPr>
          <w:rFonts w:ascii="Times New Roman" w:hAnsi="Times New Roman" w:cs="Times New Roman"/>
          <w:sz w:val="24"/>
          <w:szCs w:val="24"/>
        </w:rPr>
        <w:t>expand</w:t>
      </w:r>
      <w:r w:rsidR="00C06908">
        <w:rPr>
          <w:rFonts w:ascii="Times New Roman" w:hAnsi="Times New Roman" w:cs="Times New Roman"/>
          <w:sz w:val="24"/>
          <w:szCs w:val="24"/>
        </w:rPr>
        <w:t>s</w:t>
      </w:r>
      <w:r w:rsidR="001B0CE7">
        <w:rPr>
          <w:rFonts w:ascii="Times New Roman" w:hAnsi="Times New Roman" w:cs="Times New Roman"/>
          <w:sz w:val="24"/>
          <w:szCs w:val="24"/>
        </w:rPr>
        <w:t xml:space="preserve"> the scope of O&amp;P coverage in the private insurance market for children and young adults by covering activity-specific prostheses and custom orthoses. </w:t>
      </w:r>
      <w:r w:rsidR="00C06908">
        <w:rPr>
          <w:rFonts w:ascii="Times New Roman" w:hAnsi="Times New Roman" w:cs="Times New Roman"/>
          <w:sz w:val="24"/>
          <w:szCs w:val="24"/>
        </w:rPr>
        <w:t xml:space="preserve">Other model versions of this legislation apply to private insurance enrollees of all ages.  </w:t>
      </w:r>
      <w:r w:rsidR="0077465C">
        <w:rPr>
          <w:rFonts w:ascii="Times New Roman" w:hAnsi="Times New Roman" w:cs="Times New Roman"/>
          <w:sz w:val="24"/>
          <w:szCs w:val="24"/>
        </w:rPr>
        <w:t>The decision as to which approach to pursue usually turns on the facts and circumstances within each state where SKCM legislation is being considered.</w:t>
      </w:r>
    </w:p>
    <w:p w14:paraId="2576B4AE" w14:textId="77777777" w:rsidR="00150801" w:rsidRPr="00B124F2" w:rsidRDefault="00150801" w:rsidP="00150801">
      <w:pPr>
        <w:rPr>
          <w:rFonts w:ascii="Times New Roman" w:hAnsi="Times New Roman" w:cs="Times New Roman"/>
          <w:sz w:val="24"/>
          <w:szCs w:val="24"/>
        </w:rPr>
      </w:pPr>
    </w:p>
    <w:p w14:paraId="55FE455C" w14:textId="36B0CBAD" w:rsidR="00150801" w:rsidRPr="00B124F2" w:rsidRDefault="00150801" w:rsidP="00150801">
      <w:pPr>
        <w:rPr>
          <w:rFonts w:ascii="Times New Roman" w:hAnsi="Times New Roman" w:cs="Times New Roman"/>
          <w:sz w:val="24"/>
          <w:szCs w:val="24"/>
        </w:rPr>
      </w:pPr>
      <w:r w:rsidRPr="00B124F2">
        <w:rPr>
          <w:rFonts w:ascii="Times New Roman" w:hAnsi="Times New Roman" w:cs="Times New Roman"/>
          <w:sz w:val="24"/>
          <w:szCs w:val="24"/>
        </w:rPr>
        <w:t xml:space="preserve">The </w:t>
      </w:r>
      <w:r w:rsidR="00C06908">
        <w:rPr>
          <w:rFonts w:ascii="Times New Roman" w:hAnsi="Times New Roman" w:cs="Times New Roman"/>
          <w:sz w:val="24"/>
          <w:szCs w:val="24"/>
        </w:rPr>
        <w:t>SKCM</w:t>
      </w:r>
      <w:r w:rsidRPr="00B124F2">
        <w:rPr>
          <w:rFonts w:ascii="Times New Roman" w:hAnsi="Times New Roman" w:cs="Times New Roman"/>
          <w:sz w:val="24"/>
          <w:szCs w:val="24"/>
        </w:rPr>
        <w:t xml:space="preserve"> legislation in Maine, New Hampshire, Colorado, and Indiana is age limited</w:t>
      </w:r>
      <w:r w:rsidR="00B124F2">
        <w:rPr>
          <w:rFonts w:ascii="Times New Roman" w:hAnsi="Times New Roman" w:cs="Times New Roman"/>
          <w:sz w:val="24"/>
          <w:szCs w:val="24"/>
        </w:rPr>
        <w:t xml:space="preserve"> in that it restricts the benefits to </w:t>
      </w:r>
      <w:r w:rsidR="00C81246">
        <w:rPr>
          <w:rFonts w:ascii="Times New Roman" w:hAnsi="Times New Roman" w:cs="Times New Roman"/>
          <w:sz w:val="24"/>
          <w:szCs w:val="24"/>
        </w:rPr>
        <w:t>children 18 years of age or younger</w:t>
      </w:r>
      <w:r w:rsidRPr="00B124F2">
        <w:rPr>
          <w:rFonts w:ascii="Times New Roman" w:hAnsi="Times New Roman" w:cs="Times New Roman"/>
          <w:sz w:val="24"/>
          <w:szCs w:val="24"/>
        </w:rPr>
        <w:t xml:space="preserve">, and thus prompts the question of whether </w:t>
      </w:r>
      <w:r w:rsidR="00C06908">
        <w:rPr>
          <w:rFonts w:ascii="Times New Roman" w:hAnsi="Times New Roman" w:cs="Times New Roman"/>
          <w:sz w:val="24"/>
          <w:szCs w:val="24"/>
        </w:rPr>
        <w:t xml:space="preserve">the ACA’s </w:t>
      </w:r>
      <w:r w:rsidRPr="00B124F2">
        <w:rPr>
          <w:rFonts w:ascii="Times New Roman" w:hAnsi="Times New Roman" w:cs="Times New Roman"/>
          <w:sz w:val="24"/>
          <w:szCs w:val="24"/>
        </w:rPr>
        <w:t xml:space="preserve">prohibition of age discrimination conflicts with or invalidates this legislation. In short, </w:t>
      </w:r>
      <w:r w:rsidR="00C06908">
        <w:rPr>
          <w:rFonts w:ascii="Times New Roman" w:hAnsi="Times New Roman" w:cs="Times New Roman"/>
          <w:sz w:val="24"/>
          <w:szCs w:val="24"/>
        </w:rPr>
        <w:t>the answer is complicated.  While the limitation to children does not appear to violate Section 1</w:t>
      </w:r>
      <w:r w:rsidRPr="00B124F2">
        <w:rPr>
          <w:rFonts w:ascii="Times New Roman" w:hAnsi="Times New Roman" w:cs="Times New Roman"/>
          <w:sz w:val="24"/>
          <w:szCs w:val="24"/>
        </w:rPr>
        <w:t>557</w:t>
      </w:r>
      <w:r w:rsidR="00C06908">
        <w:rPr>
          <w:rFonts w:ascii="Times New Roman" w:hAnsi="Times New Roman" w:cs="Times New Roman"/>
          <w:sz w:val="24"/>
          <w:szCs w:val="24"/>
        </w:rPr>
        <w:t>, any such limitation must be evidence-based in order to pass muster under the EHB nondiscrimination section barring discrimination based on age</w:t>
      </w:r>
      <w:r w:rsidRPr="00B124F2">
        <w:rPr>
          <w:rFonts w:ascii="Times New Roman" w:hAnsi="Times New Roman" w:cs="Times New Roman"/>
          <w:sz w:val="24"/>
          <w:szCs w:val="24"/>
        </w:rPr>
        <w:t>.</w:t>
      </w:r>
    </w:p>
    <w:p w14:paraId="16B7C592" w14:textId="77777777" w:rsidR="00150801" w:rsidRPr="00B124F2" w:rsidRDefault="00150801" w:rsidP="00150801">
      <w:pPr>
        <w:pStyle w:val="xmsonormal"/>
        <w:shd w:val="clear" w:color="auto" w:fill="FFFFFF"/>
        <w:rPr>
          <w:rFonts w:ascii="Times New Roman" w:hAnsi="Times New Roman" w:cs="Times New Roman"/>
          <w:sz w:val="24"/>
          <w:szCs w:val="24"/>
        </w:rPr>
      </w:pPr>
    </w:p>
    <w:p w14:paraId="23234224" w14:textId="77777777" w:rsidR="00150801" w:rsidRPr="00B124F2" w:rsidRDefault="00150801" w:rsidP="00150801">
      <w:pPr>
        <w:rPr>
          <w:rFonts w:ascii="Times New Roman" w:hAnsi="Times New Roman" w:cs="Times New Roman"/>
          <w:b/>
          <w:bCs/>
          <w:sz w:val="24"/>
          <w:szCs w:val="24"/>
        </w:rPr>
      </w:pPr>
      <w:r w:rsidRPr="00B124F2">
        <w:rPr>
          <w:rFonts w:ascii="Times New Roman" w:hAnsi="Times New Roman" w:cs="Times New Roman"/>
          <w:b/>
          <w:bCs/>
          <w:sz w:val="24"/>
          <w:szCs w:val="24"/>
        </w:rPr>
        <w:t>Application of 1557</w:t>
      </w:r>
    </w:p>
    <w:p w14:paraId="1AAD193A" w14:textId="77777777" w:rsidR="00150801" w:rsidRPr="00B124F2" w:rsidRDefault="00150801" w:rsidP="00150801">
      <w:pPr>
        <w:rPr>
          <w:rFonts w:ascii="Times New Roman" w:hAnsi="Times New Roman" w:cs="Times New Roman"/>
          <w:b/>
          <w:bCs/>
          <w:sz w:val="24"/>
          <w:szCs w:val="24"/>
        </w:rPr>
      </w:pPr>
    </w:p>
    <w:p w14:paraId="7DAD77BF" w14:textId="77777777" w:rsidR="00150801" w:rsidRPr="00B124F2" w:rsidRDefault="00150801" w:rsidP="00150801">
      <w:pPr>
        <w:spacing w:after="160" w:line="259" w:lineRule="auto"/>
        <w:rPr>
          <w:rFonts w:ascii="Times New Roman" w:hAnsi="Times New Roman" w:cs="Times New Roman"/>
          <w:sz w:val="24"/>
          <w:szCs w:val="24"/>
        </w:rPr>
      </w:pPr>
      <w:r w:rsidRPr="00B124F2">
        <w:rPr>
          <w:rFonts w:ascii="Times New Roman" w:hAnsi="Times New Roman" w:cs="Times New Roman"/>
          <w:sz w:val="24"/>
          <w:szCs w:val="24"/>
        </w:rPr>
        <w:t xml:space="preserve">Section 1557 has broad application, covering any plan that (1) receives federal financial assistance from the government and (2) is principally engaged in the provision or administration of certain health programs or activities. These qualifying programs or activities are described in paragraph (a) of the proposed definition of “health program or activity” under proposed § 92.4, which includes “providing or administering health-related services, health insurance coverage, or </w:t>
      </w:r>
      <w:r w:rsidRPr="00B124F2">
        <w:rPr>
          <w:rFonts w:ascii="Times New Roman" w:hAnsi="Times New Roman" w:cs="Times New Roman"/>
          <w:sz w:val="24"/>
          <w:szCs w:val="24"/>
        </w:rPr>
        <w:lastRenderedPageBreak/>
        <w:t>other health-related coverage.”</w:t>
      </w:r>
      <w:r w:rsidRPr="00B124F2">
        <w:rPr>
          <w:rStyle w:val="FootnoteReference"/>
          <w:rFonts w:ascii="Times New Roman" w:hAnsi="Times New Roman" w:cs="Times New Roman"/>
          <w:sz w:val="24"/>
          <w:szCs w:val="24"/>
        </w:rPr>
        <w:footnoteReference w:id="1"/>
      </w:r>
    </w:p>
    <w:p w14:paraId="153771CF" w14:textId="77777777" w:rsidR="0077465C" w:rsidRDefault="00150801" w:rsidP="0077465C">
      <w:pPr>
        <w:spacing w:after="160" w:line="259" w:lineRule="auto"/>
        <w:rPr>
          <w:rFonts w:ascii="Times New Roman" w:hAnsi="Times New Roman" w:cs="Times New Roman"/>
          <w:sz w:val="24"/>
          <w:szCs w:val="24"/>
        </w:rPr>
      </w:pPr>
      <w:r w:rsidRPr="00B124F2">
        <w:rPr>
          <w:rFonts w:ascii="Times New Roman" w:hAnsi="Times New Roman" w:cs="Times New Roman"/>
          <w:sz w:val="24"/>
          <w:szCs w:val="24"/>
        </w:rPr>
        <w:t>Currently, there is a proposed rule which addresses the anti-discrimination portions of 1557</w:t>
      </w:r>
      <w:r w:rsidR="001B0CE7" w:rsidRPr="00B124F2">
        <w:rPr>
          <w:rStyle w:val="FootnoteReference"/>
          <w:rFonts w:ascii="Times New Roman" w:hAnsi="Times New Roman" w:cs="Times New Roman"/>
          <w:sz w:val="24"/>
          <w:szCs w:val="24"/>
        </w:rPr>
        <w:footnoteReference w:id="2"/>
      </w:r>
      <w:r w:rsidR="001B0CE7">
        <w:rPr>
          <w:rFonts w:ascii="Times New Roman" w:hAnsi="Times New Roman" w:cs="Times New Roman"/>
          <w:sz w:val="24"/>
          <w:szCs w:val="24"/>
        </w:rPr>
        <w:t xml:space="preserve"> and this rule is expected to be issued in final form later this spring</w:t>
      </w:r>
      <w:r w:rsidRPr="00B124F2">
        <w:rPr>
          <w:rFonts w:ascii="Times New Roman" w:hAnsi="Times New Roman" w:cs="Times New Roman"/>
          <w:sz w:val="24"/>
          <w:szCs w:val="24"/>
        </w:rPr>
        <w:t xml:space="preserve">. The proposed rule contains a subsection entitled “Health Equity and Discrimination Related to Age” and primarily serves the function of highlighting populations that are most at risk </w:t>
      </w:r>
      <w:r w:rsidR="001B0CE7">
        <w:rPr>
          <w:rFonts w:ascii="Times New Roman" w:hAnsi="Times New Roman" w:cs="Times New Roman"/>
          <w:sz w:val="24"/>
          <w:szCs w:val="24"/>
        </w:rPr>
        <w:t>of</w:t>
      </w:r>
      <w:r w:rsidRPr="00B124F2">
        <w:rPr>
          <w:rFonts w:ascii="Times New Roman" w:hAnsi="Times New Roman" w:cs="Times New Roman"/>
          <w:sz w:val="24"/>
          <w:szCs w:val="24"/>
        </w:rPr>
        <w:t xml:space="preserve"> age-related discrimination in health</w:t>
      </w:r>
      <w:r w:rsidR="00C81246">
        <w:rPr>
          <w:rFonts w:ascii="Times New Roman" w:hAnsi="Times New Roman" w:cs="Times New Roman"/>
          <w:sz w:val="24"/>
          <w:szCs w:val="24"/>
        </w:rPr>
        <w:t xml:space="preserve"> care</w:t>
      </w:r>
      <w:r w:rsidRPr="00B124F2">
        <w:rPr>
          <w:rFonts w:ascii="Times New Roman" w:hAnsi="Times New Roman" w:cs="Times New Roman"/>
          <w:sz w:val="24"/>
          <w:szCs w:val="24"/>
        </w:rPr>
        <w:t xml:space="preserve">. These groups include children and the elderly, especially if a person falling into one of these age brackets is also a member of a racial minority or a lower socioeconomic status. The proposed rule does not suggest any substantive changes to the applicability of 1557 in the context of age discrimination as outlined in the preceding paragraph. </w:t>
      </w:r>
    </w:p>
    <w:p w14:paraId="40C83636" w14:textId="43DD2093" w:rsidR="00150801" w:rsidRPr="0077465C" w:rsidRDefault="00150801" w:rsidP="0077465C">
      <w:pPr>
        <w:spacing w:after="160" w:line="259" w:lineRule="auto"/>
        <w:rPr>
          <w:rStyle w:val="Strong"/>
          <w:rFonts w:ascii="Times New Roman" w:hAnsi="Times New Roman" w:cs="Times New Roman"/>
          <w:b w:val="0"/>
          <w:bCs w:val="0"/>
          <w:sz w:val="24"/>
          <w:szCs w:val="24"/>
        </w:rPr>
      </w:pPr>
      <w:r w:rsidRPr="00B124F2">
        <w:rPr>
          <w:rStyle w:val="Strong"/>
          <w:rFonts w:ascii="Times New Roman" w:hAnsi="Times New Roman" w:cs="Times New Roman"/>
          <w:color w:val="000000"/>
          <w:sz w:val="24"/>
          <w:szCs w:val="24"/>
        </w:rPr>
        <w:t>The Enactment of a State Benefit Mandate for a Specific Age Group Does Not Violate Section 1557</w:t>
      </w:r>
    </w:p>
    <w:p w14:paraId="05D51E91" w14:textId="3A574E21" w:rsidR="00150801" w:rsidRPr="00B124F2" w:rsidRDefault="00150801" w:rsidP="00150801">
      <w:pPr>
        <w:pStyle w:val="NormalWeb"/>
        <w:shd w:val="clear" w:color="auto" w:fill="FFFFFF"/>
        <w:spacing w:before="0" w:beforeAutospacing="0" w:after="300" w:afterAutospacing="0"/>
        <w:rPr>
          <w:color w:val="000000"/>
        </w:rPr>
      </w:pPr>
      <w:r w:rsidRPr="00B124F2">
        <w:rPr>
          <w:color w:val="000000"/>
        </w:rPr>
        <w:t>Under Section 1557, it is permissible for the federal government – or states – to adopt new laws that incorporate age distinctions. One example of permissible age-distinctive laws on the federal level is the Early and Periodic Screening, Diagnostic, and Treatment (“EPSDT”) benefit</w:t>
      </w:r>
      <w:r w:rsidR="001B0CE7">
        <w:rPr>
          <w:color w:val="000000"/>
        </w:rPr>
        <w:t xml:space="preserve"> under Medicaid</w:t>
      </w:r>
      <w:r w:rsidRPr="00B124F2">
        <w:rPr>
          <w:color w:val="000000"/>
        </w:rPr>
        <w:t>. This program provides comprehensive, preventative health care for Medicaid enrollees under the age of 21</w:t>
      </w:r>
      <w:r w:rsidR="00C06908">
        <w:rPr>
          <w:color w:val="000000"/>
        </w:rPr>
        <w:t xml:space="preserve">.  </w:t>
      </w:r>
      <w:r w:rsidRPr="00B124F2">
        <w:rPr>
          <w:color w:val="000000"/>
        </w:rPr>
        <w:t xml:space="preserve">Similar to </w:t>
      </w:r>
      <w:r w:rsidR="00C06908">
        <w:rPr>
          <w:color w:val="000000"/>
        </w:rPr>
        <w:t xml:space="preserve">this example, </w:t>
      </w:r>
      <w:r w:rsidRPr="00B124F2">
        <w:rPr>
          <w:color w:val="000000"/>
        </w:rPr>
        <w:t xml:space="preserve">the </w:t>
      </w:r>
      <w:r w:rsidR="00C06908">
        <w:rPr>
          <w:color w:val="000000"/>
        </w:rPr>
        <w:t xml:space="preserve">SKCM </w:t>
      </w:r>
      <w:r w:rsidRPr="00B124F2">
        <w:rPr>
          <w:color w:val="000000"/>
        </w:rPr>
        <w:t>legislation in Maine, New Hampshire, Colorado, and Indiana—each of which contain an age-based limitation—</w:t>
      </w:r>
      <w:r w:rsidR="00C06908">
        <w:rPr>
          <w:color w:val="000000"/>
        </w:rPr>
        <w:t xml:space="preserve">do not appear to </w:t>
      </w:r>
      <w:r w:rsidRPr="00B124F2">
        <w:rPr>
          <w:color w:val="000000"/>
        </w:rPr>
        <w:t xml:space="preserve">run afoul of Section 1557. </w:t>
      </w:r>
      <w:r w:rsidR="00C06908">
        <w:rPr>
          <w:color w:val="000000"/>
        </w:rPr>
        <w:t xml:space="preserve"> In fact, a</w:t>
      </w:r>
      <w:r w:rsidRPr="00B124F2">
        <w:rPr>
          <w:color w:val="000000"/>
        </w:rPr>
        <w:t xml:space="preserve">n HHS </w:t>
      </w:r>
      <w:r w:rsidR="001B0CE7">
        <w:rPr>
          <w:color w:val="000000"/>
        </w:rPr>
        <w:t>Frequently Asked Question (</w:t>
      </w:r>
      <w:r w:rsidRPr="00B124F2">
        <w:rPr>
          <w:color w:val="000000"/>
        </w:rPr>
        <w:t>FAQ</w:t>
      </w:r>
      <w:r w:rsidR="001B0CE7">
        <w:rPr>
          <w:color w:val="000000"/>
        </w:rPr>
        <w:t>)</w:t>
      </w:r>
      <w:r w:rsidRPr="00B124F2">
        <w:rPr>
          <w:color w:val="000000"/>
        </w:rPr>
        <w:t xml:space="preserve"> clarifies that the Section 1557 regulations “do not apply to age distinctions contained in State or local statutes that were adopted by an elected, general purpose legislative body.”</w:t>
      </w:r>
      <w:r w:rsidRPr="00B124F2">
        <w:rPr>
          <w:rStyle w:val="FootnoteReference"/>
          <w:color w:val="000000"/>
        </w:rPr>
        <w:footnoteReference w:id="3"/>
      </w:r>
      <w:r w:rsidRPr="00B124F2">
        <w:rPr>
          <w:color w:val="000000"/>
        </w:rPr>
        <w:t xml:space="preserve"> </w:t>
      </w:r>
      <w:r w:rsidR="001B0CE7">
        <w:rPr>
          <w:color w:val="000000"/>
        </w:rPr>
        <w:t>In other words</w:t>
      </w:r>
      <w:r w:rsidRPr="00B124F2">
        <w:rPr>
          <w:color w:val="000000"/>
        </w:rPr>
        <w:t xml:space="preserve">, the </w:t>
      </w:r>
      <w:r w:rsidR="00C06908">
        <w:rPr>
          <w:color w:val="000000"/>
        </w:rPr>
        <w:t xml:space="preserve">SKCM </w:t>
      </w:r>
      <w:r w:rsidRPr="00B124F2">
        <w:rPr>
          <w:color w:val="000000"/>
        </w:rPr>
        <w:t>legislation would not violate Section 1557 “because it is authorized under State law.”</w:t>
      </w:r>
      <w:r w:rsidRPr="00B124F2">
        <w:rPr>
          <w:rStyle w:val="FootnoteReference"/>
          <w:color w:val="000000"/>
        </w:rPr>
        <w:footnoteReference w:id="4"/>
      </w:r>
      <w:r w:rsidR="00C06908">
        <w:rPr>
          <w:color w:val="000000"/>
        </w:rPr>
        <w:t xml:space="preserve">  </w:t>
      </w:r>
      <w:r w:rsidR="008E5083">
        <w:rPr>
          <w:color w:val="000000"/>
        </w:rPr>
        <w:t>However, this FAQ was published in 2017.</w:t>
      </w:r>
    </w:p>
    <w:p w14:paraId="29A36861" w14:textId="480737F7" w:rsidR="00916670" w:rsidRDefault="00916670" w:rsidP="00916670">
      <w:pPr>
        <w:widowControl/>
        <w:autoSpaceDE/>
        <w:autoSpaceDN/>
        <w:rPr>
          <w:rFonts w:ascii="Times New Roman" w:eastAsia="Times New Roman" w:hAnsi="Times New Roman" w:cs="Times New Roman"/>
          <w:sz w:val="24"/>
          <w:szCs w:val="24"/>
        </w:rPr>
      </w:pPr>
      <w:r w:rsidRPr="00916670">
        <w:rPr>
          <w:rFonts w:ascii="Times New Roman" w:eastAsia="Times New Roman" w:hAnsi="Times New Roman" w:cs="Times New Roman"/>
          <w:b/>
          <w:bCs/>
          <w:sz w:val="24"/>
          <w:szCs w:val="24"/>
        </w:rPr>
        <w:t xml:space="preserve">Prohibition on </w:t>
      </w:r>
      <w:r>
        <w:rPr>
          <w:rFonts w:ascii="Times New Roman" w:eastAsia="Times New Roman" w:hAnsi="Times New Roman" w:cs="Times New Roman"/>
          <w:b/>
          <w:bCs/>
          <w:sz w:val="24"/>
          <w:szCs w:val="24"/>
        </w:rPr>
        <w:t>D</w:t>
      </w:r>
      <w:r w:rsidRPr="00916670">
        <w:rPr>
          <w:rFonts w:ascii="Times New Roman" w:eastAsia="Times New Roman" w:hAnsi="Times New Roman" w:cs="Times New Roman"/>
          <w:b/>
          <w:bCs/>
          <w:sz w:val="24"/>
          <w:szCs w:val="24"/>
        </w:rPr>
        <w:t>iscrimination</w:t>
      </w:r>
      <w:r>
        <w:rPr>
          <w:rFonts w:ascii="Times New Roman" w:eastAsia="Times New Roman" w:hAnsi="Times New Roman" w:cs="Times New Roman"/>
          <w:sz w:val="24"/>
          <w:szCs w:val="24"/>
        </w:rPr>
        <w:t xml:space="preserve"> </w:t>
      </w:r>
      <w:r w:rsidRPr="00916670">
        <w:rPr>
          <w:rFonts w:ascii="Times New Roman" w:eastAsia="Times New Roman" w:hAnsi="Times New Roman" w:cs="Times New Roman"/>
          <w:b/>
          <w:bCs/>
          <w:sz w:val="24"/>
          <w:szCs w:val="24"/>
        </w:rPr>
        <w:t>Involving EHB</w:t>
      </w:r>
      <w:r w:rsidRPr="00916670">
        <w:rPr>
          <w:rFonts w:ascii="Times New Roman" w:eastAsia="Times New Roman" w:hAnsi="Times New Roman" w:cs="Times New Roman"/>
          <w:sz w:val="24"/>
          <w:szCs w:val="24"/>
        </w:rPr>
        <w:t>.</w:t>
      </w:r>
      <w:r w:rsidRPr="00916670">
        <w:rPr>
          <w:rFonts w:ascii="Times New Roman" w:eastAsia="Times New Roman" w:hAnsi="Times New Roman" w:cs="Times New Roman"/>
          <w:sz w:val="24"/>
          <w:szCs w:val="24"/>
        </w:rPr>
        <w:t xml:space="preserve"> </w:t>
      </w:r>
      <w:hyperlink w:anchor="sectno-citation-156.125" w:history="1">
        <w:r w:rsidRPr="00916670">
          <w:rPr>
            <w:rFonts w:ascii="Times New Roman" w:eastAsia="Times New Roman" w:hAnsi="Times New Roman" w:cs="Times New Roman"/>
            <w:color w:val="0000FF"/>
            <w:sz w:val="24"/>
            <w:szCs w:val="24"/>
            <w:u w:val="single"/>
          </w:rPr>
          <w:t>§ 156.125</w:t>
        </w:r>
      </w:hyperlink>
    </w:p>
    <w:p w14:paraId="02A9D2C3" w14:textId="77777777" w:rsidR="00916670" w:rsidRPr="00916670" w:rsidRDefault="00916670" w:rsidP="00916670">
      <w:pPr>
        <w:widowControl/>
        <w:autoSpaceDE/>
        <w:autoSpaceDN/>
        <w:rPr>
          <w:rFonts w:ascii="Times New Roman" w:eastAsia="Times New Roman" w:hAnsi="Times New Roman" w:cs="Times New Roman"/>
          <w:sz w:val="24"/>
          <w:szCs w:val="24"/>
        </w:rPr>
      </w:pPr>
    </w:p>
    <w:p w14:paraId="5AE31A97" w14:textId="2FB84C08" w:rsidR="00916670" w:rsidRPr="00916670" w:rsidRDefault="00916670" w:rsidP="00916670">
      <w:pPr>
        <w:pStyle w:val="NormalWeb"/>
        <w:shd w:val="clear" w:color="auto" w:fill="FFFFFF"/>
        <w:spacing w:before="0" w:beforeAutospacing="0" w:after="300" w:afterAutospacing="0"/>
      </w:pPr>
      <w:r w:rsidRPr="00B124F2">
        <w:rPr>
          <w:color w:val="000000"/>
        </w:rPr>
        <w:t xml:space="preserve">While the </w:t>
      </w:r>
      <w:r w:rsidR="008E5083">
        <w:rPr>
          <w:color w:val="000000"/>
        </w:rPr>
        <w:t xml:space="preserve">SKCM </w:t>
      </w:r>
      <w:r w:rsidRPr="00B124F2">
        <w:rPr>
          <w:color w:val="000000"/>
        </w:rPr>
        <w:t xml:space="preserve">legislation containing age restrictions does not violate Section 1557 of the ACA, </w:t>
      </w:r>
      <w:r>
        <w:rPr>
          <w:color w:val="000000"/>
        </w:rPr>
        <w:t>other, more specific nondiscrimination requirements also apply to Essential Health Benefit design and these requirements pertain to, among other things, age.  For instance,</w:t>
      </w:r>
      <w:r>
        <w:t xml:space="preserve"> Section 156.125 of the ACA states:</w:t>
      </w:r>
    </w:p>
    <w:p w14:paraId="4780AD08" w14:textId="557FFF47" w:rsidR="00916670" w:rsidRPr="00916670" w:rsidRDefault="00916670" w:rsidP="00916670">
      <w:pPr>
        <w:widowControl/>
        <w:autoSpaceDE/>
        <w:autoSpaceDN/>
        <w:ind w:left="720"/>
        <w:rPr>
          <w:rFonts w:ascii="Times New Roman" w:eastAsia="Times New Roman" w:hAnsi="Times New Roman" w:cs="Times New Roman"/>
          <w:sz w:val="24"/>
          <w:szCs w:val="24"/>
        </w:rPr>
      </w:pPr>
      <w:r w:rsidRPr="00916670">
        <w:rPr>
          <w:rFonts w:ascii="Times New Roman" w:eastAsia="Times New Roman" w:hAnsi="Times New Roman" w:cs="Times New Roman"/>
          <w:sz w:val="24"/>
          <w:szCs w:val="24"/>
        </w:rPr>
        <w:t>(a) An issuer does not provide EHB if its benefit design, or the implementation of its benefit design, discriminates based on an individual's age, expected length of life, present or predicted disability, degree of medical dependency, quality of life, or other health conditions. Beginning on the earlier of January 1, 2023 (the start of the 2023 plan year) or upon renewal of any plan subject to this rule, a non-discriminatory benefit design that provides EHB is one that is clinically-based.</w:t>
      </w:r>
      <w:r>
        <w:rPr>
          <w:rStyle w:val="FootnoteReference"/>
          <w:rFonts w:ascii="Times New Roman" w:eastAsia="Times New Roman" w:hAnsi="Times New Roman" w:cs="Times New Roman"/>
          <w:sz w:val="24"/>
          <w:szCs w:val="24"/>
        </w:rPr>
        <w:footnoteReference w:id="5"/>
      </w:r>
    </w:p>
    <w:p w14:paraId="7A2A2803" w14:textId="77777777" w:rsidR="00916670" w:rsidRDefault="00916670" w:rsidP="00916670">
      <w:pPr>
        <w:pStyle w:val="NormalWeb"/>
        <w:shd w:val="clear" w:color="auto" w:fill="FFFFFF"/>
        <w:spacing w:before="0" w:beforeAutospacing="0" w:after="300" w:afterAutospacing="0"/>
        <w:rPr>
          <w:color w:val="000000"/>
        </w:rPr>
      </w:pPr>
    </w:p>
    <w:p w14:paraId="3398C5BF" w14:textId="2CB7D14B" w:rsidR="007D4D8A" w:rsidRDefault="00916670" w:rsidP="007D4D8A">
      <w:pPr>
        <w:pStyle w:val="FootnoteText"/>
        <w:rPr>
          <w:color w:val="000000"/>
          <w:sz w:val="24"/>
          <w:szCs w:val="24"/>
        </w:rPr>
      </w:pPr>
      <w:r w:rsidRPr="007D4D8A">
        <w:rPr>
          <w:color w:val="000000"/>
          <w:sz w:val="24"/>
          <w:szCs w:val="24"/>
        </w:rPr>
        <w:lastRenderedPageBreak/>
        <w:t>T</w:t>
      </w:r>
      <w:r w:rsidRPr="007D4D8A">
        <w:rPr>
          <w:color w:val="000000"/>
          <w:sz w:val="24"/>
          <w:szCs w:val="24"/>
        </w:rPr>
        <w:t>he</w:t>
      </w:r>
      <w:r w:rsidRPr="007D4D8A">
        <w:rPr>
          <w:color w:val="000000"/>
          <w:sz w:val="24"/>
          <w:szCs w:val="24"/>
        </w:rPr>
        <w:t>se EHB</w:t>
      </w:r>
      <w:r w:rsidRPr="007D4D8A">
        <w:rPr>
          <w:color w:val="000000"/>
          <w:sz w:val="24"/>
          <w:szCs w:val="24"/>
        </w:rPr>
        <w:t xml:space="preserve"> age</w:t>
      </w:r>
      <w:r w:rsidRPr="00B124F2">
        <w:rPr>
          <w:color w:val="000000"/>
          <w:sz w:val="24"/>
          <w:szCs w:val="24"/>
        </w:rPr>
        <w:t xml:space="preserve"> discrimination provisions prohibit age distinctions if the service or treatment is clinically effective for all ages</w:t>
      </w:r>
      <w:r>
        <w:rPr>
          <w:color w:val="000000"/>
        </w:rPr>
        <w:t xml:space="preserve">, </w:t>
      </w:r>
      <w:r w:rsidRPr="007D4D8A">
        <w:rPr>
          <w:color w:val="000000"/>
          <w:sz w:val="24"/>
          <w:szCs w:val="24"/>
        </w:rPr>
        <w:t>which is a clear challenge to the SKCM’s limitation to children of the expanded scope of activity-specific prostheses and custom orthoses</w:t>
      </w:r>
      <w:r w:rsidRPr="007D4D8A">
        <w:rPr>
          <w:color w:val="000000"/>
          <w:sz w:val="24"/>
          <w:szCs w:val="24"/>
        </w:rPr>
        <w:t xml:space="preserve">. </w:t>
      </w:r>
      <w:r w:rsidR="008E5083">
        <w:rPr>
          <w:color w:val="000000"/>
          <w:sz w:val="24"/>
          <w:szCs w:val="24"/>
        </w:rPr>
        <w:t xml:space="preserve">Clearly, adults can benefit from activity-specific O&amp;P care as well as children.  </w:t>
      </w:r>
      <w:r w:rsidRPr="00B124F2">
        <w:rPr>
          <w:color w:val="000000"/>
          <w:sz w:val="24"/>
          <w:szCs w:val="24"/>
        </w:rPr>
        <w:t>The EHB regulations</w:t>
      </w:r>
      <w:r>
        <w:rPr>
          <w:color w:val="000000"/>
        </w:rPr>
        <w:t xml:space="preserve"> </w:t>
      </w:r>
      <w:r w:rsidRPr="007D4D8A">
        <w:rPr>
          <w:color w:val="000000"/>
          <w:sz w:val="24"/>
          <w:szCs w:val="24"/>
        </w:rPr>
        <w:t xml:space="preserve">in </w:t>
      </w:r>
      <w:r w:rsidRPr="007D4D8A">
        <w:rPr>
          <w:sz w:val="24"/>
          <w:szCs w:val="24"/>
        </w:rPr>
        <w:t>footnote 483</w:t>
      </w:r>
      <w:r>
        <w:t xml:space="preserve"> </w:t>
      </w:r>
      <w:r w:rsidRPr="00B124F2">
        <w:rPr>
          <w:color w:val="000000"/>
          <w:sz w:val="24"/>
          <w:szCs w:val="24"/>
        </w:rPr>
        <w:t>also</w:t>
      </w:r>
      <w:r w:rsidR="007D4D8A">
        <w:rPr>
          <w:color w:val="000000"/>
          <w:sz w:val="24"/>
          <w:szCs w:val="24"/>
        </w:rPr>
        <w:t xml:space="preserve"> offer</w:t>
      </w:r>
      <w:r w:rsidRPr="00B124F2">
        <w:rPr>
          <w:color w:val="000000"/>
          <w:sz w:val="24"/>
          <w:szCs w:val="24"/>
        </w:rPr>
        <w:t xml:space="preserve"> categorical examples of presumptive age discrimination</w:t>
      </w:r>
      <w:r w:rsidR="007D4D8A">
        <w:rPr>
          <w:color w:val="000000"/>
          <w:sz w:val="24"/>
          <w:szCs w:val="24"/>
        </w:rPr>
        <w:t xml:space="preserve"> including the following:</w:t>
      </w:r>
    </w:p>
    <w:p w14:paraId="6649DE38" w14:textId="77777777" w:rsidR="007D4D8A" w:rsidRDefault="007D4D8A" w:rsidP="007D4D8A">
      <w:pPr>
        <w:pStyle w:val="FootnoteText"/>
        <w:rPr>
          <w:color w:val="000000"/>
          <w:sz w:val="24"/>
          <w:szCs w:val="24"/>
        </w:rPr>
      </w:pPr>
    </w:p>
    <w:p w14:paraId="5AFEB82F" w14:textId="77777777" w:rsidR="007D4D8A" w:rsidRDefault="007D4D8A" w:rsidP="007D4D8A">
      <w:pPr>
        <w:pStyle w:val="FootnoteText"/>
        <w:ind w:left="720"/>
        <w:rPr>
          <w:sz w:val="24"/>
          <w:szCs w:val="24"/>
        </w:rPr>
      </w:pPr>
      <w:r w:rsidRPr="007D4D8A">
        <w:rPr>
          <w:sz w:val="24"/>
          <w:szCs w:val="24"/>
        </w:rPr>
        <w:t xml:space="preserve">(1) limitation on hearing aid coverage based on age; </w:t>
      </w:r>
    </w:p>
    <w:p w14:paraId="2C26B98B" w14:textId="77777777" w:rsidR="007D4D8A" w:rsidRDefault="007D4D8A" w:rsidP="007D4D8A">
      <w:pPr>
        <w:pStyle w:val="FootnoteText"/>
        <w:ind w:left="720"/>
        <w:rPr>
          <w:sz w:val="24"/>
          <w:szCs w:val="24"/>
        </w:rPr>
      </w:pPr>
      <w:r w:rsidRPr="007D4D8A">
        <w:rPr>
          <w:sz w:val="24"/>
          <w:szCs w:val="24"/>
        </w:rPr>
        <w:t xml:space="preserve">(2) autism spectrum disorder coverage limitations based on age; </w:t>
      </w:r>
    </w:p>
    <w:p w14:paraId="3E3D2AE1" w14:textId="77777777" w:rsidR="007D4D8A" w:rsidRDefault="007D4D8A" w:rsidP="007D4D8A">
      <w:pPr>
        <w:pStyle w:val="FootnoteText"/>
        <w:ind w:left="720"/>
        <w:rPr>
          <w:sz w:val="24"/>
          <w:szCs w:val="24"/>
        </w:rPr>
      </w:pPr>
      <w:r w:rsidRPr="007D4D8A">
        <w:rPr>
          <w:sz w:val="24"/>
          <w:szCs w:val="24"/>
        </w:rPr>
        <w:t xml:space="preserve">(3) age limits for infertility treatment coverage when treatment is clinically effective for the age group; </w:t>
      </w:r>
    </w:p>
    <w:p w14:paraId="41595DE7" w14:textId="77777777" w:rsidR="007D4D8A" w:rsidRDefault="007D4D8A" w:rsidP="007D4D8A">
      <w:pPr>
        <w:pStyle w:val="FootnoteText"/>
        <w:ind w:left="720"/>
        <w:rPr>
          <w:sz w:val="24"/>
          <w:szCs w:val="24"/>
        </w:rPr>
      </w:pPr>
      <w:r w:rsidRPr="007D4D8A">
        <w:rPr>
          <w:sz w:val="24"/>
          <w:szCs w:val="24"/>
        </w:rPr>
        <w:t xml:space="preserve">(4) limitation on foot care coverage based on diagnosis (whether diabetes or another underlying medical condition); and </w:t>
      </w:r>
    </w:p>
    <w:p w14:paraId="324FAAE0" w14:textId="7FB976B3" w:rsidR="007D4D8A" w:rsidRDefault="007D4D8A" w:rsidP="007D4D8A">
      <w:pPr>
        <w:pStyle w:val="FootnoteText"/>
        <w:ind w:left="720"/>
        <w:rPr>
          <w:sz w:val="24"/>
          <w:szCs w:val="24"/>
        </w:rPr>
      </w:pPr>
      <w:r w:rsidRPr="007D4D8A">
        <w:rPr>
          <w:sz w:val="24"/>
          <w:szCs w:val="24"/>
        </w:rPr>
        <w:t xml:space="preserve">(5) access to prescription drugs for chronic health conditions (adverse tiering)). </w:t>
      </w:r>
    </w:p>
    <w:p w14:paraId="7772B0FB" w14:textId="05FC7C9B" w:rsidR="007D4D8A" w:rsidRDefault="007D4D8A" w:rsidP="007D4D8A">
      <w:pPr>
        <w:pStyle w:val="FootnoteText"/>
        <w:rPr>
          <w:sz w:val="24"/>
          <w:szCs w:val="24"/>
        </w:rPr>
      </w:pPr>
    </w:p>
    <w:p w14:paraId="5E321775" w14:textId="0BD292EA" w:rsidR="008E5083" w:rsidRDefault="007D4D8A" w:rsidP="007D4D8A">
      <w:pPr>
        <w:pStyle w:val="FootnoteText"/>
        <w:rPr>
          <w:sz w:val="24"/>
          <w:szCs w:val="24"/>
        </w:rPr>
      </w:pPr>
      <w:r>
        <w:rPr>
          <w:sz w:val="24"/>
          <w:szCs w:val="24"/>
        </w:rPr>
        <w:t xml:space="preserve">The first example listed above pertaining to hearing aid coverage is very similar to coverage of activity-specific O&amp;P care for children only.  </w:t>
      </w:r>
      <w:r w:rsidR="008E5083">
        <w:rPr>
          <w:sz w:val="24"/>
          <w:szCs w:val="24"/>
        </w:rPr>
        <w:t xml:space="preserve">The SKCM legislation purports to expand the scope of an existing EHB benefit, custom orthotics and prosthetics, the benefit category for which is listed in the ACA as “rehabilitative and habilitative services and devices.”  </w:t>
      </w:r>
      <w:r w:rsidR="0077465C">
        <w:rPr>
          <w:sz w:val="24"/>
          <w:szCs w:val="24"/>
        </w:rPr>
        <w:t xml:space="preserve">Creating a </w:t>
      </w:r>
      <w:r w:rsidR="008E5083">
        <w:rPr>
          <w:sz w:val="24"/>
          <w:szCs w:val="24"/>
        </w:rPr>
        <w:t xml:space="preserve">benefit mandate not </w:t>
      </w:r>
      <w:r w:rsidR="0077465C">
        <w:rPr>
          <w:sz w:val="24"/>
          <w:szCs w:val="24"/>
        </w:rPr>
        <w:t xml:space="preserve">considered to be </w:t>
      </w:r>
      <w:r w:rsidR="008E5083">
        <w:rPr>
          <w:sz w:val="24"/>
          <w:szCs w:val="24"/>
        </w:rPr>
        <w:t>included in EHB would require the state to supplement the cost of this new benefit.  Therefore, we must maintain that activity-specific prostheses are included in EHB and, therefore, the benefit design to cover these benefits must no</w:t>
      </w:r>
      <w:r w:rsidR="0077465C">
        <w:rPr>
          <w:sz w:val="24"/>
          <w:szCs w:val="24"/>
        </w:rPr>
        <w:t>t</w:t>
      </w:r>
      <w:r w:rsidR="008E5083">
        <w:rPr>
          <w:sz w:val="24"/>
          <w:szCs w:val="24"/>
        </w:rPr>
        <w:t xml:space="preserve"> discriminat</w:t>
      </w:r>
      <w:r w:rsidR="0077465C">
        <w:rPr>
          <w:sz w:val="24"/>
          <w:szCs w:val="24"/>
        </w:rPr>
        <w:t>e</w:t>
      </w:r>
      <w:r w:rsidR="008E5083">
        <w:rPr>
          <w:sz w:val="24"/>
          <w:szCs w:val="24"/>
        </w:rPr>
        <w:t xml:space="preserve"> based on age under this regulatory provision.  This argument can be used by SKCM to argue to states that they must apply this new scope of the existing O&amp;P benefit to privately-insured people </w:t>
      </w:r>
      <w:r w:rsidR="008E5083" w:rsidRPr="0077465C">
        <w:rPr>
          <w:i/>
          <w:iCs/>
          <w:sz w:val="24"/>
          <w:szCs w:val="24"/>
        </w:rPr>
        <w:t>of all ages</w:t>
      </w:r>
      <w:r w:rsidR="008E5083">
        <w:rPr>
          <w:sz w:val="24"/>
          <w:szCs w:val="24"/>
        </w:rPr>
        <w:t>.</w:t>
      </w:r>
    </w:p>
    <w:p w14:paraId="14CA3EEE" w14:textId="77777777" w:rsidR="008E5083" w:rsidRDefault="008E5083" w:rsidP="007D4D8A">
      <w:pPr>
        <w:pStyle w:val="FootnoteText"/>
        <w:rPr>
          <w:sz w:val="24"/>
          <w:szCs w:val="24"/>
        </w:rPr>
      </w:pPr>
    </w:p>
    <w:p w14:paraId="7D84565F" w14:textId="0DA69F3B" w:rsidR="00916670" w:rsidRDefault="008E5083" w:rsidP="008E5083">
      <w:pPr>
        <w:pStyle w:val="FootnoteText"/>
        <w:rPr>
          <w:sz w:val="24"/>
          <w:szCs w:val="24"/>
        </w:rPr>
      </w:pPr>
      <w:r>
        <w:rPr>
          <w:sz w:val="24"/>
          <w:szCs w:val="24"/>
        </w:rPr>
        <w:t xml:space="preserve">If, however, we wish to assert that the state can, in fact, limit this benefit to children in order to achieve passage in the first place by limiting the costs of this provision, we must develop an evidence base to demonstrate why the limitation to children is justified.  Unless </w:t>
      </w:r>
      <w:r w:rsidR="007D4D8A">
        <w:rPr>
          <w:sz w:val="24"/>
          <w:szCs w:val="24"/>
        </w:rPr>
        <w:t xml:space="preserve">SKCM can develop a clinical rationale for coverage of this benefit for children, </w:t>
      </w:r>
      <w:r>
        <w:rPr>
          <w:sz w:val="24"/>
          <w:szCs w:val="24"/>
        </w:rPr>
        <w:t>we</w:t>
      </w:r>
      <w:r w:rsidR="007D4D8A">
        <w:rPr>
          <w:sz w:val="24"/>
          <w:szCs w:val="24"/>
        </w:rPr>
        <w:t xml:space="preserve"> will have problems with these age</w:t>
      </w:r>
      <w:r w:rsidR="0077465C">
        <w:rPr>
          <w:sz w:val="24"/>
          <w:szCs w:val="24"/>
        </w:rPr>
        <w:t xml:space="preserve"> </w:t>
      </w:r>
      <w:r w:rsidR="007D4D8A">
        <w:rPr>
          <w:sz w:val="24"/>
          <w:szCs w:val="24"/>
        </w:rPr>
        <w:t xml:space="preserve">discrimination EHB regulations.  </w:t>
      </w:r>
      <w:r>
        <w:rPr>
          <w:sz w:val="24"/>
          <w:szCs w:val="24"/>
        </w:rPr>
        <w:t>T</w:t>
      </w:r>
      <w:r w:rsidR="007D4D8A">
        <w:rPr>
          <w:sz w:val="24"/>
          <w:szCs w:val="24"/>
        </w:rPr>
        <w:t xml:space="preserve">here is evidence that suggests that children who are not active and exposed to sports and athletic activities before age 12 are far less likely to exercise and stay fit later in life.  This and perhaps other research </w:t>
      </w:r>
      <w:r w:rsidR="0077465C">
        <w:rPr>
          <w:sz w:val="24"/>
          <w:szCs w:val="24"/>
        </w:rPr>
        <w:t xml:space="preserve">involving childhood obesity and the long-term implications of a sedentary lifestyle at a young age </w:t>
      </w:r>
      <w:r w:rsidR="007D4D8A">
        <w:rPr>
          <w:sz w:val="24"/>
          <w:szCs w:val="24"/>
        </w:rPr>
        <w:t>could formulate a clinically-based rationale for limiting this benefit to children without violating the EHB age discrimination requirements.</w:t>
      </w:r>
      <w:r>
        <w:rPr>
          <w:sz w:val="24"/>
          <w:szCs w:val="24"/>
        </w:rPr>
        <w:t xml:space="preserve">  </w:t>
      </w:r>
    </w:p>
    <w:p w14:paraId="50ED1C3E" w14:textId="77777777" w:rsidR="008E5083" w:rsidRPr="00B124F2" w:rsidRDefault="008E5083" w:rsidP="008E5083">
      <w:pPr>
        <w:pStyle w:val="FootnoteText"/>
        <w:rPr>
          <w:color w:val="000000"/>
          <w:sz w:val="24"/>
          <w:szCs w:val="24"/>
        </w:rPr>
      </w:pPr>
    </w:p>
    <w:p w14:paraId="5F85D7CC" w14:textId="77777777" w:rsidR="00150801" w:rsidRPr="00B124F2" w:rsidRDefault="00150801" w:rsidP="00150801">
      <w:pPr>
        <w:pStyle w:val="NormalWeb"/>
        <w:shd w:val="clear" w:color="auto" w:fill="FFFFFF"/>
        <w:spacing w:before="0" w:beforeAutospacing="0" w:after="300" w:afterAutospacing="0"/>
        <w:rPr>
          <w:b/>
          <w:bCs/>
          <w:color w:val="000000"/>
        </w:rPr>
      </w:pPr>
      <w:r w:rsidRPr="00B124F2">
        <w:rPr>
          <w:b/>
          <w:bCs/>
          <w:color w:val="000000"/>
        </w:rPr>
        <w:t>Conclusion</w:t>
      </w:r>
    </w:p>
    <w:p w14:paraId="2CB490EA" w14:textId="27FE6924" w:rsidR="00150801" w:rsidRPr="00B124F2" w:rsidRDefault="0096337F" w:rsidP="00150801">
      <w:pPr>
        <w:pStyle w:val="NormalWeb"/>
        <w:shd w:val="clear" w:color="auto" w:fill="FFFFFF"/>
        <w:spacing w:before="0" w:beforeAutospacing="0" w:after="300" w:afterAutospacing="0"/>
        <w:rPr>
          <w:b/>
          <w:bCs/>
          <w:color w:val="000000"/>
        </w:rPr>
      </w:pPr>
      <w:r>
        <w:t xml:space="preserve">The SKCM campaign should develop </w:t>
      </w:r>
      <w:r>
        <w:t>an</w:t>
      </w:r>
      <w:r>
        <w:t xml:space="preserve"> evidence base</w:t>
      </w:r>
      <w:r>
        <w:t xml:space="preserve"> to argue that the legislation to expand the scope of activity-specific prostheses and orthoses can be limited to children only, without violating Section 156-125 of the ACA regulations.  If successful, this will enable SKCM to have maximum flexibility when working with each </w:t>
      </w:r>
      <w:r>
        <w:t xml:space="preserve">state’s legislature </w:t>
      </w:r>
      <w:r>
        <w:t xml:space="preserve">to determine how far it </w:t>
      </w:r>
      <w:r>
        <w:t>is willing to go to expand the scope of the O&amp;P benefit under private insurance plans</w:t>
      </w:r>
      <w:r>
        <w:t>, either to children alone or to enrollees of all ages</w:t>
      </w:r>
      <w:r>
        <w:t>.</w:t>
      </w:r>
      <w:r w:rsidR="00150801" w:rsidRPr="00B124F2">
        <w:rPr>
          <w:color w:val="000000"/>
        </w:rPr>
        <w:t xml:space="preserve"> </w:t>
      </w:r>
    </w:p>
    <w:p w14:paraId="0ABB08D3" w14:textId="2CF913F0" w:rsidR="002B2C74" w:rsidRPr="00B124F2" w:rsidRDefault="002B2C74" w:rsidP="00493DD1">
      <w:pPr>
        <w:pStyle w:val="BodyText"/>
        <w:tabs>
          <w:tab w:val="left" w:pos="0"/>
          <w:tab w:val="left" w:pos="540"/>
        </w:tabs>
        <w:ind w:right="478"/>
        <w:jc w:val="both"/>
        <w:rPr>
          <w:rFonts w:ascii="Times New Roman" w:hAnsi="Times New Roman" w:cs="Times New Roman"/>
          <w:b/>
          <w:bCs/>
          <w:sz w:val="24"/>
          <w:szCs w:val="24"/>
        </w:rPr>
      </w:pPr>
    </w:p>
    <w:sectPr w:rsidR="002B2C74" w:rsidRPr="00B124F2" w:rsidSect="005E5345">
      <w:type w:val="continuous"/>
      <w:pgSz w:w="12240" w:h="15840"/>
      <w:pgMar w:top="1440" w:right="1440" w:bottom="1440" w:left="1440" w:header="72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D8F86" w14:textId="77777777" w:rsidR="006C3D3F" w:rsidRDefault="006C3D3F" w:rsidP="006346F5">
      <w:r>
        <w:separator/>
      </w:r>
    </w:p>
  </w:endnote>
  <w:endnote w:type="continuationSeparator" w:id="0">
    <w:p w14:paraId="63B04619" w14:textId="77777777" w:rsidR="006C3D3F" w:rsidRDefault="006C3D3F" w:rsidP="0063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XGyreTermes">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FF75" w14:textId="77777777" w:rsidR="00D351F2" w:rsidRDefault="00D35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7F78" w14:textId="664C94DD" w:rsidR="00B000BA" w:rsidRPr="007529D9" w:rsidRDefault="0096337F" w:rsidP="00B000BA">
    <w:pPr>
      <w:rPr>
        <w:rFonts w:ascii="Times New Roman" w:hAnsi="Times New Roman" w:cs="Times New Roman"/>
        <w:color w:val="FFFFFF" w:themeColor="background1"/>
        <w:sz w:val="18"/>
        <w:szCs w:val="18"/>
      </w:rPr>
    </w:pPr>
    <w:r w:rsidRPr="0096337F">
      <w:rPr>
        <w:rFonts w:ascii="Times New Roman" w:hAnsi="Times New Roman" w:cs="Times New Roman"/>
        <w:noProof/>
        <w:color w:val="FFFFFF" w:themeColor="background1"/>
        <w:sz w:val="16"/>
        <w:szCs w:val="18"/>
      </w:rPr>
      <w:t>{D1046506.DOCX / 1 }</w:t>
    </w:r>
    <w:r>
      <w:rPr>
        <w:rFonts w:ascii="Times New Roman" w:hAnsi="Times New Roman" w:cs="Times New Roman"/>
        <w:noProof/>
        <w:sz w:val="20"/>
      </w:rPr>
      <w:pict w14:anchorId="78D070C0">
        <v:rect id="_x0000_s1057" style="position:absolute;margin-left:356.6pt;margin-top:10.9pt;width:116.2pt;height:18.55pt;z-index:251668991;mso-position-horizontal-relative:text;mso-position-vertical-relative:text" filled="f" stroked="f">
          <v:textbox style="mso-next-textbox:#_x0000_s1057">
            <w:txbxContent>
              <w:p w14:paraId="6F828011" w14:textId="51C8AE0B" w:rsidR="005E5345" w:rsidRPr="00817EB4" w:rsidRDefault="00493DD1" w:rsidP="005E5345">
                <w:pPr>
                  <w:jc w:val="right"/>
                  <w:rPr>
                    <w:rFonts w:ascii="Times New Roman" w:hAnsi="Times New Roman" w:cs="Times New Roman"/>
                    <w:color w:val="FFFFFF" w:themeColor="background1"/>
                    <w:sz w:val="20"/>
                    <w:szCs w:val="20"/>
                  </w:rPr>
                </w:pPr>
                <w:r w:rsidRPr="00817EB4">
                  <w:rPr>
                    <w:rFonts w:ascii="Times New Roman" w:hAnsi="Times New Roman" w:cs="Times New Roman"/>
                    <w:color w:val="FFFFFF" w:themeColor="background1"/>
                    <w:sz w:val="20"/>
                    <w:szCs w:val="20"/>
                  </w:rPr>
                  <w:t>Page</w:t>
                </w:r>
                <w:r w:rsidR="005E5345" w:rsidRPr="00817EB4">
                  <w:rPr>
                    <w:rFonts w:ascii="Times New Roman" w:hAnsi="Times New Roman" w:cs="Times New Roman"/>
                    <w:color w:val="FFFFFF" w:themeColor="background1"/>
                    <w:sz w:val="20"/>
                    <w:szCs w:val="20"/>
                  </w:rPr>
                  <w:t xml:space="preserve"> | </w:t>
                </w:r>
                <w:r w:rsidR="005E5345" w:rsidRPr="00817EB4">
                  <w:rPr>
                    <w:rFonts w:ascii="Times New Roman" w:hAnsi="Times New Roman" w:cs="Times New Roman"/>
                    <w:color w:val="FFFFFF" w:themeColor="background1"/>
                    <w:sz w:val="20"/>
                    <w:szCs w:val="20"/>
                  </w:rPr>
                  <w:fldChar w:fldCharType="begin"/>
                </w:r>
                <w:r w:rsidR="005E5345" w:rsidRPr="00817EB4">
                  <w:rPr>
                    <w:rFonts w:ascii="Times New Roman" w:hAnsi="Times New Roman" w:cs="Times New Roman"/>
                    <w:color w:val="FFFFFF" w:themeColor="background1"/>
                    <w:sz w:val="20"/>
                    <w:szCs w:val="20"/>
                  </w:rPr>
                  <w:instrText xml:space="preserve"> PAGE   \* MERGEFORMAT </w:instrText>
                </w:r>
                <w:r w:rsidR="005E5345" w:rsidRPr="00817EB4">
                  <w:rPr>
                    <w:rFonts w:ascii="Times New Roman" w:hAnsi="Times New Roman" w:cs="Times New Roman"/>
                    <w:color w:val="FFFFFF" w:themeColor="background1"/>
                    <w:sz w:val="20"/>
                    <w:szCs w:val="20"/>
                  </w:rPr>
                  <w:fldChar w:fldCharType="separate"/>
                </w:r>
                <w:r w:rsidR="005E5345" w:rsidRPr="00817EB4">
                  <w:rPr>
                    <w:rFonts w:ascii="Times New Roman" w:hAnsi="Times New Roman" w:cs="Times New Roman"/>
                    <w:b/>
                    <w:bCs/>
                    <w:noProof/>
                    <w:color w:val="FFFFFF" w:themeColor="background1"/>
                    <w:sz w:val="20"/>
                    <w:szCs w:val="20"/>
                  </w:rPr>
                  <w:t>1</w:t>
                </w:r>
                <w:r w:rsidR="005E5345" w:rsidRPr="00817EB4">
                  <w:rPr>
                    <w:rFonts w:ascii="Times New Roman" w:hAnsi="Times New Roman" w:cs="Times New Roman"/>
                    <w:b/>
                    <w:bCs/>
                    <w:noProof/>
                    <w:color w:val="FFFFFF" w:themeColor="background1"/>
                    <w:sz w:val="20"/>
                    <w:szCs w:val="20"/>
                  </w:rPr>
                  <w:fldChar w:fldCharType="end"/>
                </w:r>
              </w:p>
            </w:txbxContent>
          </v:textbox>
        </v:rect>
      </w:pict>
    </w:r>
  </w:p>
  <w:sdt>
    <w:sdtPr>
      <w:rPr>
        <w:rFonts w:ascii="Times New Roman" w:hAnsi="Times New Roman" w:cs="Times New Roman"/>
      </w:rPr>
      <w:id w:val="2031599900"/>
      <w:docPartObj>
        <w:docPartGallery w:val="Page Numbers (Bottom of Page)"/>
        <w:docPartUnique/>
      </w:docPartObj>
    </w:sdtPr>
    <w:sdtEndPr>
      <w:rPr>
        <w:noProof/>
      </w:rPr>
    </w:sdtEndPr>
    <w:sdtContent>
      <w:p w14:paraId="62F48510" w14:textId="5E4EB683" w:rsidR="00B000BA" w:rsidRPr="007529D9" w:rsidRDefault="0096337F" w:rsidP="00817EB4">
        <w:pPr>
          <w:pStyle w:val="Footer"/>
          <w:tabs>
            <w:tab w:val="clear" w:pos="4680"/>
            <w:tab w:val="clear" w:pos="9360"/>
            <w:tab w:val="left" w:pos="6816"/>
          </w:tabs>
          <w:rPr>
            <w:rFonts w:ascii="Times New Roman" w:hAnsi="Times New Roman" w:cs="Times New Roman"/>
            <w:noProof/>
          </w:rPr>
        </w:pPr>
        <w:r>
          <w:rPr>
            <w:rFonts w:ascii="Times New Roman" w:hAnsi="Times New Roman" w:cs="Times New Roman"/>
            <w:noProof/>
            <w:sz w:val="20"/>
          </w:rPr>
          <w:pict w14:anchorId="36D9AA34">
            <v:group id="_x0000_s1038" style="position:absolute;margin-left:64.75pt;margin-top:722.45pt;width:483.45pt;height:18.55pt;z-index:251662847;mso-position-horizontal-relative:page;mso-position-vertical-relative:page" coordorigin="3,15312" coordsize="12238,528">
              <v:shape id="_x0000_s1039" style="position:absolute;left:5840;top:15312;width:5941;height:528" coordorigin="5840,15312" coordsize="5941,528" path="m6391,15312r5389,l11225,15840r-5385,l6391,15312xe" fillcolor="#8794a1" stroked="f">
                <v:fill opacity="16193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2;top:15645;width:12193;height:195">
                <v:imagedata r:id="rId1" o:title=""/>
              </v:shape>
              <v:shape id="_x0000_s1041" style="position:absolute;left:7510;top:15312;width:4730;height:528" coordorigin="7510,15312" coordsize="4730,528" path="m8061,15312r4179,l12240,15840r-4730,l8061,15312xe" fillcolor="#01456e" stroked="f">
                <v:path arrowok="t"/>
              </v:shape>
              <w10:wrap anchorx="page" anchory="page"/>
            </v:group>
          </w:pict>
        </w:r>
      </w:p>
      <w:p w14:paraId="26FD7F6B" w14:textId="77777777" w:rsidR="00B000BA" w:rsidRPr="007529D9" w:rsidRDefault="00B000BA" w:rsidP="00B000BA">
        <w:pPr>
          <w:pStyle w:val="Footer"/>
          <w:ind w:left="-540" w:right="-360"/>
          <w:jc w:val="center"/>
          <w:rPr>
            <w:rFonts w:ascii="Times New Roman" w:hAnsi="Times New Roman" w:cs="Times New Roman"/>
            <w:color w:val="365F91"/>
            <w:sz w:val="18"/>
          </w:rPr>
        </w:pPr>
        <w:r w:rsidRPr="007529D9">
          <w:rPr>
            <w:rFonts w:ascii="Times New Roman" w:hAnsi="Times New Roman" w:cs="Times New Roman"/>
            <w:color w:val="365F91"/>
            <w:sz w:val="18"/>
          </w:rPr>
          <w:t xml:space="preserve"> </w:t>
        </w:r>
      </w:p>
      <w:p w14:paraId="754D5409" w14:textId="513521C1" w:rsidR="000B7EF5" w:rsidRPr="007529D9" w:rsidRDefault="00B000BA" w:rsidP="00B000BA">
        <w:pPr>
          <w:pStyle w:val="Footer"/>
          <w:ind w:left="-540" w:right="-360"/>
          <w:jc w:val="center"/>
          <w:rPr>
            <w:rFonts w:ascii="Times New Roman" w:hAnsi="Times New Roman" w:cs="Times New Roman"/>
            <w:color w:val="365F91"/>
            <w:sz w:val="18"/>
          </w:rPr>
        </w:pPr>
        <w:r w:rsidRPr="007529D9">
          <w:rPr>
            <w:rFonts w:ascii="Times New Roman" w:hAnsi="Times New Roman" w:cs="Times New Roman"/>
            <w:color w:val="365F91"/>
            <w:sz w:val="18"/>
          </w:rPr>
          <w:t xml:space="preserve">   1501 M STREET, NW   </w:t>
        </w:r>
        <w:r w:rsidRPr="007529D9">
          <w:rPr>
            <w:rFonts w:ascii="Times New Roman" w:hAnsi="Times New Roman" w:cs="Times New Roman"/>
            <w:sz w:val="18"/>
          </w:rPr>
          <w:sym w:font="Wingdings" w:char="F06E"/>
        </w:r>
        <w:r w:rsidRPr="007529D9">
          <w:rPr>
            <w:rFonts w:ascii="Times New Roman" w:hAnsi="Times New Roman" w:cs="Times New Roman"/>
            <w:color w:val="365F91"/>
            <w:sz w:val="18"/>
          </w:rPr>
          <w:t xml:space="preserve">   SEVENTH FLOOR   </w:t>
        </w:r>
        <w:r w:rsidRPr="007529D9">
          <w:rPr>
            <w:rFonts w:ascii="Times New Roman" w:hAnsi="Times New Roman" w:cs="Times New Roman"/>
            <w:sz w:val="18"/>
          </w:rPr>
          <w:sym w:font="Wingdings" w:char="F06E"/>
        </w:r>
        <w:r w:rsidRPr="007529D9">
          <w:rPr>
            <w:rFonts w:ascii="Times New Roman" w:hAnsi="Times New Roman" w:cs="Times New Roman"/>
            <w:color w:val="365F91"/>
            <w:sz w:val="18"/>
          </w:rPr>
          <w:t xml:space="preserve">   WASHINGTON DC  20005   </w:t>
        </w:r>
        <w:r w:rsidRPr="007529D9">
          <w:rPr>
            <w:rFonts w:ascii="Times New Roman" w:hAnsi="Times New Roman" w:cs="Times New Roman"/>
            <w:sz w:val="18"/>
          </w:rPr>
          <w:sym w:font="Wingdings" w:char="F06E"/>
        </w:r>
        <w:r w:rsidRPr="007529D9">
          <w:rPr>
            <w:rFonts w:ascii="Times New Roman" w:hAnsi="Times New Roman" w:cs="Times New Roman"/>
            <w:color w:val="365F91"/>
            <w:sz w:val="18"/>
          </w:rPr>
          <w:t xml:space="preserve">   PH 202.466.6550 </w:t>
        </w:r>
        <w:r w:rsidRPr="007529D9">
          <w:rPr>
            <w:rFonts w:ascii="Times New Roman" w:hAnsi="Times New Roman" w:cs="Times New Roman"/>
            <w:sz w:val="18"/>
          </w:rPr>
          <w:sym w:font="Wingdings" w:char="F06E"/>
        </w:r>
        <w:r w:rsidRPr="007529D9">
          <w:rPr>
            <w:rFonts w:ascii="Times New Roman" w:hAnsi="Times New Roman" w:cs="Times New Roman"/>
            <w:color w:val="365F91"/>
            <w:sz w:val="18"/>
          </w:rPr>
          <w:t xml:space="preserve">   www.PowersLaw.com</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2919" w14:textId="1215A5E8" w:rsidR="007529D9" w:rsidRDefault="0096337F" w:rsidP="005E5345">
    <w:pPr>
      <w:pStyle w:val="Footer"/>
      <w:tabs>
        <w:tab w:val="clear" w:pos="4680"/>
        <w:tab w:val="clear" w:pos="9360"/>
        <w:tab w:val="left" w:pos="6816"/>
      </w:tabs>
      <w:rPr>
        <w:rFonts w:ascii="Times New Roman" w:hAnsi="Times New Roman" w:cs="Times New Roman"/>
      </w:rPr>
    </w:pPr>
    <w:r w:rsidRPr="0096337F">
      <w:rPr>
        <w:rFonts w:ascii="Times New Roman" w:hAnsi="Times New Roman" w:cs="Times New Roman"/>
        <w:noProof/>
        <w:sz w:val="16"/>
      </w:rPr>
      <w:t>{D1046506.DOCX / 1 }</w:t>
    </w:r>
  </w:p>
  <w:sdt>
    <w:sdtPr>
      <w:rPr>
        <w:rFonts w:ascii="Times New Roman" w:hAnsi="Times New Roman" w:cs="Times New Roman"/>
      </w:rPr>
      <w:id w:val="1495925576"/>
      <w:docPartObj>
        <w:docPartGallery w:val="Page Numbers (Bottom of Page)"/>
        <w:docPartUnique/>
      </w:docPartObj>
    </w:sdtPr>
    <w:sdtEndPr>
      <w:rPr>
        <w:noProof/>
      </w:rPr>
    </w:sdtEndPr>
    <w:sdtContent>
      <w:p w14:paraId="1A109D89" w14:textId="5F880524" w:rsidR="005E5345" w:rsidRPr="007529D9" w:rsidRDefault="005E5345" w:rsidP="005E5345">
        <w:pPr>
          <w:pStyle w:val="Footer"/>
          <w:tabs>
            <w:tab w:val="clear" w:pos="4680"/>
            <w:tab w:val="clear" w:pos="9360"/>
            <w:tab w:val="left" w:pos="6816"/>
          </w:tabs>
          <w:rPr>
            <w:rFonts w:ascii="Times New Roman" w:hAnsi="Times New Roman" w:cs="Times New Roman"/>
            <w:noProof/>
          </w:rPr>
        </w:pPr>
      </w:p>
      <w:p w14:paraId="0A783F88" w14:textId="78D0D1D0" w:rsidR="005E5345" w:rsidRPr="007529D9" w:rsidRDefault="0096337F" w:rsidP="005E5345">
        <w:pPr>
          <w:pStyle w:val="Footer"/>
          <w:ind w:left="-540" w:right="-360"/>
          <w:jc w:val="center"/>
          <w:rPr>
            <w:rFonts w:ascii="Times New Roman" w:hAnsi="Times New Roman" w:cs="Times New Roman"/>
            <w:color w:val="365F91"/>
            <w:sz w:val="18"/>
          </w:rPr>
        </w:pPr>
        <w:r>
          <w:rPr>
            <w:rFonts w:ascii="Times New Roman" w:hAnsi="Times New Roman" w:cs="Times New Roman"/>
            <w:noProof/>
            <w:color w:val="365F91"/>
            <w:sz w:val="18"/>
          </w:rPr>
          <w:pict w14:anchorId="36D9AA34">
            <v:group id="_x0000_s1058" style="position:absolute;left:0;text-align:left;margin-left:60.9pt;margin-top:721.6pt;width:488.5pt;height:18.55pt;z-index:251670015;mso-position-horizontal-relative:page;mso-position-vertical-relative:page" coordorigin="3,15312" coordsize="12238,528">
              <v:shape id="_x0000_s1059" style="position:absolute;left:5840;top:15312;width:5941;height:528" coordorigin="5840,15312" coordsize="5941,528" path="m6391,15312r5389,l11225,15840r-5385,l6391,15312xe" fillcolor="#8794a1" stroked="f">
                <v:fill opacity="16193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2;top:15645;width:12193;height:195">
                <v:imagedata r:id="rId1" o:title=""/>
              </v:shape>
              <v:shape id="_x0000_s1061" style="position:absolute;left:7510;top:15312;width:4730;height:528" coordorigin="7510,15312" coordsize="4730,528" path="m8061,15312r4179,l12240,15840r-4730,l8061,15312xe" fillcolor="#01456e" stroked="f">
                <v:path arrowok="t"/>
              </v:shape>
              <w10:wrap anchorx="page" anchory="page"/>
            </v:group>
          </w:pict>
        </w:r>
      </w:p>
      <w:p w14:paraId="57EB357F" w14:textId="1A4233FB" w:rsidR="005E5345" w:rsidRPr="007529D9" w:rsidRDefault="005E5345" w:rsidP="005E5345">
        <w:pPr>
          <w:pStyle w:val="Footer"/>
          <w:ind w:left="-540" w:right="-360"/>
          <w:jc w:val="center"/>
          <w:rPr>
            <w:rFonts w:ascii="Times New Roman" w:hAnsi="Times New Roman" w:cs="Times New Roman"/>
            <w:color w:val="365F91"/>
            <w:sz w:val="18"/>
          </w:rPr>
        </w:pPr>
      </w:p>
      <w:p w14:paraId="69FAA27D" w14:textId="77777777" w:rsidR="005E5345" w:rsidRPr="007529D9" w:rsidRDefault="005E5345" w:rsidP="005E5345">
        <w:pPr>
          <w:pStyle w:val="Footer"/>
          <w:ind w:left="-540" w:right="-360"/>
          <w:jc w:val="center"/>
          <w:rPr>
            <w:rFonts w:ascii="Times New Roman" w:hAnsi="Times New Roman" w:cs="Times New Roman"/>
            <w:color w:val="365F91"/>
            <w:sz w:val="18"/>
          </w:rPr>
        </w:pPr>
      </w:p>
      <w:p w14:paraId="3BCFCCDF" w14:textId="36608EDB" w:rsidR="005E5345" w:rsidRPr="007529D9" w:rsidRDefault="005E5345" w:rsidP="005E5345">
        <w:pPr>
          <w:pStyle w:val="Footer"/>
          <w:ind w:left="-540" w:right="-360"/>
          <w:jc w:val="center"/>
          <w:rPr>
            <w:rFonts w:ascii="Times New Roman" w:hAnsi="Times New Roman" w:cs="Times New Roman"/>
            <w:color w:val="365F91"/>
            <w:sz w:val="18"/>
          </w:rPr>
        </w:pPr>
        <w:r w:rsidRPr="007529D9">
          <w:rPr>
            <w:rFonts w:ascii="Times New Roman" w:hAnsi="Times New Roman" w:cs="Times New Roman"/>
            <w:color w:val="365F91"/>
            <w:sz w:val="18"/>
          </w:rPr>
          <w:t xml:space="preserve">  1501 M STREET, NW   </w:t>
        </w:r>
        <w:r w:rsidRPr="007529D9">
          <w:rPr>
            <w:rFonts w:ascii="Times New Roman" w:hAnsi="Times New Roman" w:cs="Times New Roman"/>
            <w:sz w:val="18"/>
          </w:rPr>
          <w:sym w:font="Wingdings" w:char="F06E"/>
        </w:r>
        <w:r w:rsidRPr="007529D9">
          <w:rPr>
            <w:rFonts w:ascii="Times New Roman" w:hAnsi="Times New Roman" w:cs="Times New Roman"/>
            <w:color w:val="365F91"/>
            <w:sz w:val="18"/>
          </w:rPr>
          <w:t xml:space="preserve">   SEVENTH FLOOR   </w:t>
        </w:r>
        <w:r w:rsidRPr="007529D9">
          <w:rPr>
            <w:rFonts w:ascii="Times New Roman" w:hAnsi="Times New Roman" w:cs="Times New Roman"/>
            <w:sz w:val="18"/>
          </w:rPr>
          <w:sym w:font="Wingdings" w:char="F06E"/>
        </w:r>
        <w:r w:rsidRPr="007529D9">
          <w:rPr>
            <w:rFonts w:ascii="Times New Roman" w:hAnsi="Times New Roman" w:cs="Times New Roman"/>
            <w:color w:val="365F91"/>
            <w:sz w:val="18"/>
          </w:rPr>
          <w:t xml:space="preserve">   WASHINGTON DC  20005   </w:t>
        </w:r>
        <w:r w:rsidRPr="007529D9">
          <w:rPr>
            <w:rFonts w:ascii="Times New Roman" w:hAnsi="Times New Roman" w:cs="Times New Roman"/>
            <w:sz w:val="18"/>
          </w:rPr>
          <w:sym w:font="Wingdings" w:char="F06E"/>
        </w:r>
        <w:r w:rsidRPr="007529D9">
          <w:rPr>
            <w:rFonts w:ascii="Times New Roman" w:hAnsi="Times New Roman" w:cs="Times New Roman"/>
            <w:color w:val="365F91"/>
            <w:sz w:val="18"/>
          </w:rPr>
          <w:t xml:space="preserve">   PH 202.466.6550 </w:t>
        </w:r>
        <w:r w:rsidRPr="007529D9">
          <w:rPr>
            <w:rFonts w:ascii="Times New Roman" w:hAnsi="Times New Roman" w:cs="Times New Roman"/>
            <w:sz w:val="18"/>
          </w:rPr>
          <w:sym w:font="Wingdings" w:char="F06E"/>
        </w:r>
        <w:r w:rsidRPr="007529D9">
          <w:rPr>
            <w:rFonts w:ascii="Times New Roman" w:hAnsi="Times New Roman" w:cs="Times New Roman"/>
            <w:color w:val="365F91"/>
            <w:sz w:val="18"/>
          </w:rPr>
          <w:t xml:space="preserve">   www.PowersLaw.com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E92DB" w14:textId="77777777" w:rsidR="006C3D3F" w:rsidRDefault="006C3D3F" w:rsidP="006346F5">
      <w:pPr>
        <w:rPr>
          <w:noProof/>
        </w:rPr>
      </w:pPr>
      <w:r>
        <w:rPr>
          <w:noProof/>
        </w:rPr>
        <w:separator/>
      </w:r>
    </w:p>
  </w:footnote>
  <w:footnote w:type="continuationSeparator" w:id="0">
    <w:p w14:paraId="306ABDCD" w14:textId="77777777" w:rsidR="006C3D3F" w:rsidRDefault="006C3D3F" w:rsidP="006346F5">
      <w:r>
        <w:continuationSeparator/>
      </w:r>
    </w:p>
  </w:footnote>
  <w:footnote w:id="1">
    <w:p w14:paraId="7015EC1F" w14:textId="77777777" w:rsidR="00150801" w:rsidRDefault="00150801" w:rsidP="00150801">
      <w:pPr>
        <w:pStyle w:val="FootnoteText"/>
      </w:pPr>
      <w:r>
        <w:rPr>
          <w:rStyle w:val="FootnoteReference"/>
        </w:rPr>
        <w:footnoteRef/>
      </w:r>
      <w:r>
        <w:t xml:space="preserve"> </w:t>
      </w:r>
      <w:hyperlink r:id="rId1" w:history="1">
        <w:r>
          <w:rPr>
            <w:rStyle w:val="Hyperlink"/>
          </w:rPr>
          <w:t>Federal Register :: Nondiscrimination in Health Programs and Activities</w:t>
        </w:r>
      </w:hyperlink>
      <w:r>
        <w:t xml:space="preserve"> at 47,826-27.</w:t>
      </w:r>
    </w:p>
  </w:footnote>
  <w:footnote w:id="2">
    <w:p w14:paraId="67FE89B8" w14:textId="77777777" w:rsidR="001B0CE7" w:rsidRDefault="001B0CE7" w:rsidP="001B0CE7">
      <w:pPr>
        <w:pStyle w:val="FootnoteText"/>
      </w:pPr>
      <w:r>
        <w:rPr>
          <w:rStyle w:val="FootnoteReference"/>
        </w:rPr>
        <w:footnoteRef/>
      </w:r>
      <w:r>
        <w:t xml:space="preserve"> </w:t>
      </w:r>
      <w:hyperlink r:id="rId2" w:history="1">
        <w:r>
          <w:rPr>
            <w:rStyle w:val="Hyperlink"/>
          </w:rPr>
          <w:t>Federal Register :: Nondiscrimination in Health Programs and Activities</w:t>
        </w:r>
      </w:hyperlink>
      <w:r>
        <w:t>.</w:t>
      </w:r>
    </w:p>
  </w:footnote>
  <w:footnote w:id="3">
    <w:p w14:paraId="5372243C" w14:textId="77720AC9" w:rsidR="00150801" w:rsidRDefault="00150801" w:rsidP="00150801">
      <w:pPr>
        <w:pStyle w:val="FootnoteText"/>
      </w:pPr>
      <w:r>
        <w:rPr>
          <w:rStyle w:val="FootnoteReference"/>
        </w:rPr>
        <w:footnoteRef/>
      </w:r>
      <w:r>
        <w:t xml:space="preserve"> </w:t>
      </w:r>
      <w:hyperlink r:id="rId3" w:history="1">
        <w:r>
          <w:rPr>
            <w:rStyle w:val="Hyperlink"/>
          </w:rPr>
          <w:t>Section 1557: Frequently Asked Questions | HHS.gov</w:t>
        </w:r>
      </w:hyperlink>
      <w:r w:rsidR="001B0CE7">
        <w:t xml:space="preserve">; (published </w:t>
      </w:r>
      <w:r w:rsidR="001B0CE7">
        <w:rPr>
          <w:color w:val="000000"/>
          <w:highlight w:val="white"/>
        </w:rPr>
        <w:t>May 18, 2017</w:t>
      </w:r>
      <w:r w:rsidR="001B0CE7">
        <w:rPr>
          <w:color w:val="000000"/>
        </w:rPr>
        <w:t>).</w:t>
      </w:r>
    </w:p>
  </w:footnote>
  <w:footnote w:id="4">
    <w:p w14:paraId="5CE4FA65" w14:textId="77777777" w:rsidR="00150801" w:rsidRDefault="00150801" w:rsidP="00150801">
      <w:pPr>
        <w:pStyle w:val="FootnoteText"/>
      </w:pPr>
      <w:r>
        <w:rPr>
          <w:rStyle w:val="FootnoteReference"/>
        </w:rPr>
        <w:footnoteRef/>
      </w:r>
      <w:r>
        <w:t xml:space="preserve"> </w:t>
      </w:r>
      <w:hyperlink r:id="rId4" w:history="1">
        <w:r>
          <w:rPr>
            <w:rStyle w:val="Hyperlink"/>
          </w:rPr>
          <w:t>Section 1557: Frequently Asked Questions | HHS.gov</w:t>
        </w:r>
      </w:hyperlink>
      <w:r>
        <w:t>.</w:t>
      </w:r>
    </w:p>
  </w:footnote>
  <w:footnote w:id="5">
    <w:p w14:paraId="2A711A44" w14:textId="70EB9D6A" w:rsidR="00916670" w:rsidRDefault="00916670">
      <w:pPr>
        <w:pStyle w:val="FootnoteText"/>
      </w:pPr>
      <w:r>
        <w:rPr>
          <w:rStyle w:val="FootnoteReference"/>
        </w:rPr>
        <w:footnoteRef/>
      </w:r>
      <w:r>
        <w:t xml:space="preserve"> HHS Notice of Benefit and Payment Parameters for 2023, Final Rule; </w:t>
      </w:r>
      <w:hyperlink r:id="rId5" w:history="1">
        <w:r>
          <w:rPr>
            <w:rStyle w:val="Hyperlink"/>
          </w:rPr>
          <w:t>87 FR 27208</w:t>
        </w:r>
      </w:hyperlink>
      <w:r>
        <w:t xml:space="preserve">, </w:t>
      </w:r>
      <w:hyperlink r:id="rId6" w:history="1">
        <w:r>
          <w:rPr>
            <w:rStyle w:val="Hyperlink"/>
          </w:rPr>
          <w:t>27301-05</w:t>
        </w:r>
      </w:hyperlink>
      <w:r>
        <w:t xml:space="preserve">, May 6,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D3DA" w14:textId="77777777" w:rsidR="00D351F2" w:rsidRDefault="00D35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F820" w14:textId="4D16FD25" w:rsidR="005E5345" w:rsidRDefault="00324B7D">
    <w:pPr>
      <w:pStyle w:val="Header"/>
    </w:pPr>
    <w:r>
      <w:rPr>
        <w:rFonts w:ascii="Times New Roman" w:hAnsi="Times New Roman" w:cs="Times New Roman"/>
        <w:noProof/>
      </w:rPr>
      <w:drawing>
        <wp:anchor distT="0" distB="0" distL="114300" distR="114300" simplePos="0" relativeHeight="251661312" behindDoc="1" locked="0" layoutInCell="1" allowOverlap="1" wp14:anchorId="05FA400C" wp14:editId="401C1A9B">
          <wp:simplePos x="0" y="0"/>
          <wp:positionH relativeFrom="column">
            <wp:posOffset>-714375</wp:posOffset>
          </wp:positionH>
          <wp:positionV relativeFrom="paragraph">
            <wp:posOffset>-419100</wp:posOffset>
          </wp:positionV>
          <wp:extent cx="2905125" cy="912495"/>
          <wp:effectExtent l="0" t="0" r="0" b="0"/>
          <wp:wrapTight wrapText="bothSides">
            <wp:wrapPolygon edited="0">
              <wp:start x="2266" y="3608"/>
              <wp:lineTo x="2125" y="16685"/>
              <wp:lineTo x="6799" y="17587"/>
              <wp:lineTo x="10765" y="17587"/>
              <wp:lineTo x="17847" y="16685"/>
              <wp:lineTo x="19688" y="15783"/>
              <wp:lineTo x="19546" y="6313"/>
              <wp:lineTo x="15439" y="4509"/>
              <wp:lineTo x="4391" y="3608"/>
              <wp:lineTo x="2266" y="3608"/>
            </wp:wrapPolygon>
          </wp:wrapTight>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912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3A69" w14:textId="2A883B63" w:rsidR="005E5345" w:rsidRDefault="0096337F">
    <w:pPr>
      <w:pStyle w:val="Header"/>
    </w:pPr>
    <w:r>
      <w:rPr>
        <w:noProof/>
      </w:rPr>
      <w:pict w14:anchorId="3BF165C2">
        <v:group id="_x0000_s1049" style="position:absolute;margin-left:60.9pt;margin-top:23.5pt;width:496.1pt;height:19.95pt;z-index:-251652609;mso-position-horizontal-relative:page;mso-position-vertical-relative:page" coordsize="12238,399">
          <v:shape id="_x0000_s1050" style="position:absolute;width:3283;height:399" coordsize="3283,399" path="m,l3283,,2866,396r-231,2l,398,,xe" fillcolor="#8794a1" stroked="f">
            <v:fill opacity="16193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42;width:12195;height:208">
            <v:imagedata r:id="rId1" o:title=""/>
          </v:shape>
          <v:shape id="_x0000_s1052" style="position:absolute;width:2696;height:399" coordsize="2696,399" path="m,l2696,,2279,396r-231,2l,398,,xe" fillcolor="#01456e" stroked="f">
            <v:path arrowok="t"/>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D25E2"/>
    <w:multiLevelType w:val="hybridMultilevel"/>
    <w:tmpl w:val="167C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43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characterSpacingControl w:val="doNotCompress"/>
  <w:hdrShapeDefaults>
    <o:shapedefaults v:ext="edit" spidmax="2084">
      <o:colormru v:ext="edit" colors="#194d7e"/>
      <o:colormenu v:ext="edit" strokecolor="#194d7e"/>
    </o:shapedefaults>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B0FAE"/>
    <w:rsid w:val="000B7EF5"/>
    <w:rsid w:val="00150801"/>
    <w:rsid w:val="001B0CE7"/>
    <w:rsid w:val="001E5788"/>
    <w:rsid w:val="002B2C74"/>
    <w:rsid w:val="00324B7D"/>
    <w:rsid w:val="0046550E"/>
    <w:rsid w:val="004704EE"/>
    <w:rsid w:val="00493DD1"/>
    <w:rsid w:val="005E5345"/>
    <w:rsid w:val="006346F5"/>
    <w:rsid w:val="006C3D3F"/>
    <w:rsid w:val="007529D9"/>
    <w:rsid w:val="0077465C"/>
    <w:rsid w:val="007D4D8A"/>
    <w:rsid w:val="00817EB4"/>
    <w:rsid w:val="008204C5"/>
    <w:rsid w:val="008E5083"/>
    <w:rsid w:val="00916670"/>
    <w:rsid w:val="0096337F"/>
    <w:rsid w:val="009F479E"/>
    <w:rsid w:val="00B000BA"/>
    <w:rsid w:val="00B124F2"/>
    <w:rsid w:val="00C06908"/>
    <w:rsid w:val="00C81246"/>
    <w:rsid w:val="00CB0FAE"/>
    <w:rsid w:val="00CD4B7E"/>
    <w:rsid w:val="00D351F2"/>
    <w:rsid w:val="00D7084E"/>
    <w:rsid w:val="00D74A67"/>
    <w:rsid w:val="00DB56B9"/>
    <w:rsid w:val="00E419D6"/>
    <w:rsid w:val="00FB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4">
      <o:colormru v:ext="edit" colors="#194d7e"/>
      <o:colormenu v:ext="edit" strokecolor="#194d7e"/>
    </o:shapedefaults>
    <o:shapelayout v:ext="edit">
      <o:idmap v:ext="edit" data="2"/>
    </o:shapelayout>
  </w:shapeDefaults>
  <w:decimalSymbol w:val="."/>
  <w:listSeparator w:val=","/>
  <w14:docId w14:val="11D0811E"/>
  <w15:docId w15:val="{80560C34-F9EA-4335-A122-72757365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eXGyreTermes" w:eastAsia="TeXGyreTermes" w:hAnsi="TeXGyreTermes" w:cs="TeXGyreTer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195"/>
    </w:pPr>
    <w:rPr>
      <w:b/>
      <w:bCs/>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46F5"/>
    <w:pPr>
      <w:tabs>
        <w:tab w:val="center" w:pos="4680"/>
        <w:tab w:val="right" w:pos="9360"/>
      </w:tabs>
    </w:pPr>
  </w:style>
  <w:style w:type="character" w:customStyle="1" w:styleId="HeaderChar">
    <w:name w:val="Header Char"/>
    <w:basedOn w:val="DefaultParagraphFont"/>
    <w:link w:val="Header"/>
    <w:uiPriority w:val="99"/>
    <w:rsid w:val="006346F5"/>
    <w:rPr>
      <w:rFonts w:ascii="TeXGyreTermes" w:eastAsia="TeXGyreTermes" w:hAnsi="TeXGyreTermes" w:cs="TeXGyreTermes"/>
    </w:rPr>
  </w:style>
  <w:style w:type="paragraph" w:styleId="Footer">
    <w:name w:val="footer"/>
    <w:basedOn w:val="Normal"/>
    <w:link w:val="FooterChar"/>
    <w:uiPriority w:val="99"/>
    <w:unhideWhenUsed/>
    <w:rsid w:val="006346F5"/>
    <w:pPr>
      <w:tabs>
        <w:tab w:val="center" w:pos="4680"/>
        <w:tab w:val="right" w:pos="9360"/>
      </w:tabs>
    </w:pPr>
  </w:style>
  <w:style w:type="character" w:customStyle="1" w:styleId="FooterChar">
    <w:name w:val="Footer Char"/>
    <w:basedOn w:val="DefaultParagraphFont"/>
    <w:link w:val="Footer"/>
    <w:uiPriority w:val="99"/>
    <w:rsid w:val="006346F5"/>
    <w:rPr>
      <w:rFonts w:ascii="TeXGyreTermes" w:eastAsia="TeXGyreTermes" w:hAnsi="TeXGyreTermes" w:cs="TeXGyreTermes"/>
    </w:rPr>
  </w:style>
  <w:style w:type="character" w:styleId="Hyperlink">
    <w:name w:val="Hyperlink"/>
    <w:basedOn w:val="DefaultParagraphFont"/>
    <w:uiPriority w:val="99"/>
    <w:unhideWhenUsed/>
    <w:rsid w:val="004704EE"/>
    <w:rPr>
      <w:color w:val="0000FF" w:themeColor="hyperlink"/>
      <w:u w:val="single"/>
    </w:rPr>
  </w:style>
  <w:style w:type="character" w:styleId="UnresolvedMention">
    <w:name w:val="Unresolved Mention"/>
    <w:basedOn w:val="DefaultParagraphFont"/>
    <w:uiPriority w:val="99"/>
    <w:semiHidden/>
    <w:unhideWhenUsed/>
    <w:rsid w:val="004704EE"/>
    <w:rPr>
      <w:color w:val="605E5C"/>
      <w:shd w:val="clear" w:color="auto" w:fill="E1DFDD"/>
    </w:rPr>
  </w:style>
  <w:style w:type="paragraph" w:styleId="FootnoteText">
    <w:name w:val="footnote text"/>
    <w:basedOn w:val="Normal"/>
    <w:link w:val="FootnoteTextChar"/>
    <w:uiPriority w:val="99"/>
    <w:semiHidden/>
    <w:rsid w:val="00150801"/>
    <w:pPr>
      <w:widowControl/>
      <w:autoSpaceDE/>
      <w:autoSpaceDN/>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5080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50801"/>
    <w:rPr>
      <w:vertAlign w:val="superscript"/>
    </w:rPr>
  </w:style>
  <w:style w:type="paragraph" w:styleId="NormalWeb">
    <w:name w:val="Normal (Web)"/>
    <w:basedOn w:val="Normal"/>
    <w:uiPriority w:val="99"/>
    <w:unhideWhenUsed/>
    <w:rsid w:val="0015080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50801"/>
    <w:rPr>
      <w:b/>
      <w:bCs/>
    </w:rPr>
  </w:style>
  <w:style w:type="paragraph" w:customStyle="1" w:styleId="xmsonormal">
    <w:name w:val="x_msonormal"/>
    <w:basedOn w:val="Normal"/>
    <w:rsid w:val="00150801"/>
    <w:pPr>
      <w:widowControl/>
      <w:autoSpaceDE/>
      <w:autoSpaceDN/>
    </w:pPr>
    <w:rPr>
      <w:rFonts w:ascii="Calibri" w:eastAsiaTheme="minorHAnsi" w:hAnsi="Calibri" w:cs="Calibri"/>
    </w:rPr>
  </w:style>
  <w:style w:type="character" w:styleId="CommentReference">
    <w:name w:val="annotation reference"/>
    <w:basedOn w:val="DefaultParagraphFont"/>
    <w:semiHidden/>
    <w:unhideWhenUsed/>
    <w:rsid w:val="00150801"/>
    <w:rPr>
      <w:sz w:val="16"/>
      <w:szCs w:val="16"/>
    </w:rPr>
  </w:style>
  <w:style w:type="paragraph" w:styleId="CommentText">
    <w:name w:val="annotation text"/>
    <w:basedOn w:val="Normal"/>
    <w:link w:val="CommentTextChar"/>
    <w:unhideWhenUsed/>
    <w:rsid w:val="00150801"/>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5080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1508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50801"/>
    <w:pPr>
      <w:widowControl w:val="0"/>
      <w:autoSpaceDE w:val="0"/>
      <w:autoSpaceDN w:val="0"/>
    </w:pPr>
    <w:rPr>
      <w:rFonts w:ascii="TeXGyreTermes" w:eastAsia="TeXGyreTermes" w:hAnsi="TeXGyreTermes" w:cs="TeXGyreTermes"/>
      <w:b/>
      <w:bCs/>
    </w:rPr>
  </w:style>
  <w:style w:type="character" w:customStyle="1" w:styleId="CommentSubjectChar">
    <w:name w:val="Comment Subject Char"/>
    <w:basedOn w:val="CommentTextChar"/>
    <w:link w:val="CommentSubject"/>
    <w:uiPriority w:val="99"/>
    <w:semiHidden/>
    <w:rsid w:val="00150801"/>
    <w:rPr>
      <w:rFonts w:ascii="TeXGyreTermes" w:eastAsia="TeXGyreTermes" w:hAnsi="TeXGyreTermes" w:cs="TeXGyreTerme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21349">
      <w:bodyDiv w:val="1"/>
      <w:marLeft w:val="0"/>
      <w:marRight w:val="0"/>
      <w:marTop w:val="0"/>
      <w:marBottom w:val="0"/>
      <w:divBdr>
        <w:top w:val="none" w:sz="0" w:space="0" w:color="auto"/>
        <w:left w:val="none" w:sz="0" w:space="0" w:color="auto"/>
        <w:bottom w:val="none" w:sz="0" w:space="0" w:color="auto"/>
        <w:right w:val="none" w:sz="0" w:space="0" w:color="auto"/>
      </w:divBdr>
      <w:divsChild>
        <w:div w:id="854807806">
          <w:marLeft w:val="0"/>
          <w:marRight w:val="0"/>
          <w:marTop w:val="0"/>
          <w:marBottom w:val="0"/>
          <w:divBdr>
            <w:top w:val="none" w:sz="0" w:space="0" w:color="auto"/>
            <w:left w:val="none" w:sz="0" w:space="0" w:color="auto"/>
            <w:bottom w:val="none" w:sz="0" w:space="0" w:color="auto"/>
            <w:right w:val="none" w:sz="0" w:space="0" w:color="auto"/>
          </w:divBdr>
          <w:divsChild>
            <w:div w:id="1645086269">
              <w:marLeft w:val="0"/>
              <w:marRight w:val="0"/>
              <w:marTop w:val="0"/>
              <w:marBottom w:val="0"/>
              <w:divBdr>
                <w:top w:val="none" w:sz="0" w:space="0" w:color="auto"/>
                <w:left w:val="none" w:sz="0" w:space="0" w:color="auto"/>
                <w:bottom w:val="none" w:sz="0" w:space="0" w:color="auto"/>
                <w:right w:val="none" w:sz="0" w:space="0" w:color="auto"/>
              </w:divBdr>
            </w:div>
            <w:div w:id="16932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hhs.gov/civil-rights/for-individuals/section-1557/1557faqs/index.html" TargetMode="External"/><Relationship Id="rId2" Type="http://schemas.openxmlformats.org/officeDocument/2006/relationships/hyperlink" Target="https://www.federalregister.gov/documents/2022/08/04/2022-16217/nondiscrimination-in-health-programs-and-activities" TargetMode="External"/><Relationship Id="rId1" Type="http://schemas.openxmlformats.org/officeDocument/2006/relationships/hyperlink" Target="https://www.federalregister.gov/documents/2022/08/04/2022-16217/nondiscrimination-in-health-programs-and-activities" TargetMode="External"/><Relationship Id="rId6" Type="http://schemas.openxmlformats.org/officeDocument/2006/relationships/hyperlink" Target="https://www.federalregister.gov/citation/87-FR-27301" TargetMode="External"/><Relationship Id="rId5" Type="http://schemas.openxmlformats.org/officeDocument/2006/relationships/hyperlink" Target="https://www.federalregister.gov/citation/87-FR-27208" TargetMode="External"/><Relationship Id="rId4" Type="http://schemas.openxmlformats.org/officeDocument/2006/relationships/hyperlink" Target="https://www.hhs.gov/civil-rights/for-individuals/section-1557/1557faqs/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0B545-33CD-4CB4-8476-FA356F7B8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1263</Words>
  <Characters>6971</Characters>
  <Application>Microsoft Office Word</Application>
  <DocSecurity>0</DocSecurity>
  <PresentationFormat>12|.DOCX</PresentationFormat>
  <Lines>151</Lines>
  <Paragraphs>26</Paragraphs>
  <ScaleCrop>false</ScaleCrop>
  <HeadingPairs>
    <vt:vector size="2" baseType="variant">
      <vt:variant>
        <vt:lpstr>Title</vt:lpstr>
      </vt:variant>
      <vt:variant>
        <vt:i4>1</vt:i4>
      </vt:variant>
    </vt:vector>
  </HeadingPairs>
  <TitlesOfParts>
    <vt:vector size="1" baseType="lpstr">
      <vt:lpstr>Powers 40th Memo Template (D1044670).DOCX</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 Age Discrimination Memo (D1046123).DOCX</dc:title>
  <dc:subject>D1046506.DOCX / 1 /font=8</dc:subject>
  <dc:creator>Katherine Boyko</dc:creator>
  <cp:keywords>DAFPnfucseE,BAFGH5xVY3Y</cp:keywords>
  <cp:lastModifiedBy>Thomas, Peter</cp:lastModifiedBy>
  <cp:revision>2</cp:revision>
  <cp:lastPrinted>2022-11-17T16:16:00Z</cp:lastPrinted>
  <dcterms:created xsi:type="dcterms:W3CDTF">2023-02-26T21:05:00Z</dcterms:created>
  <dcterms:modified xsi:type="dcterms:W3CDTF">2023-02-26T21:05:00Z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Canva</vt:lpwstr>
  </property>
  <property fmtid="{D5CDD505-2E9C-101B-9397-08002B2CF9AE}" pid="4" name="LastSaved">
    <vt:filetime>2022-11-17T00:00:00Z</vt:filetime>
  </property>
</Properties>
</file>